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73E88" w14:textId="3C6333AC" w:rsidR="00C92584" w:rsidRPr="00797CE2" w:rsidRDefault="00797CE2" w:rsidP="008A26E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7CE2">
        <w:rPr>
          <w:rFonts w:ascii="Times New Roman" w:hAnsi="Times New Roman"/>
          <w:b/>
          <w:sz w:val="24"/>
          <w:szCs w:val="24"/>
        </w:rPr>
        <w:t xml:space="preserve">Externalidades do </w:t>
      </w:r>
      <w:r>
        <w:rPr>
          <w:rFonts w:ascii="Times New Roman" w:hAnsi="Times New Roman"/>
          <w:b/>
          <w:sz w:val="24"/>
          <w:szCs w:val="24"/>
        </w:rPr>
        <w:t>M</w:t>
      </w:r>
      <w:r w:rsidRPr="00797CE2">
        <w:rPr>
          <w:rFonts w:ascii="Times New Roman" w:hAnsi="Times New Roman"/>
          <w:b/>
          <w:sz w:val="24"/>
          <w:szCs w:val="24"/>
        </w:rPr>
        <w:t xml:space="preserve">ercado de </w:t>
      </w:r>
      <w:r>
        <w:rPr>
          <w:rFonts w:ascii="Times New Roman" w:hAnsi="Times New Roman"/>
          <w:b/>
          <w:sz w:val="24"/>
          <w:szCs w:val="24"/>
        </w:rPr>
        <w:t>T</w:t>
      </w:r>
      <w:r w:rsidRPr="00797CE2">
        <w:rPr>
          <w:rFonts w:ascii="Times New Roman" w:hAnsi="Times New Roman"/>
          <w:b/>
          <w:sz w:val="24"/>
          <w:szCs w:val="24"/>
        </w:rPr>
        <w:t xml:space="preserve">rabalho e </w:t>
      </w:r>
      <w:r>
        <w:rPr>
          <w:rFonts w:ascii="Times New Roman" w:hAnsi="Times New Roman"/>
          <w:b/>
          <w:sz w:val="24"/>
          <w:szCs w:val="24"/>
        </w:rPr>
        <w:t>C</w:t>
      </w:r>
      <w:r w:rsidRPr="00797CE2">
        <w:rPr>
          <w:rFonts w:ascii="Times New Roman" w:hAnsi="Times New Roman"/>
          <w:b/>
          <w:sz w:val="24"/>
          <w:szCs w:val="24"/>
        </w:rPr>
        <w:t xml:space="preserve">rescimento </w:t>
      </w:r>
      <w:r>
        <w:rPr>
          <w:rFonts w:ascii="Times New Roman" w:hAnsi="Times New Roman"/>
          <w:b/>
          <w:sz w:val="24"/>
          <w:szCs w:val="24"/>
        </w:rPr>
        <w:t>R</w:t>
      </w:r>
      <w:r w:rsidRPr="00797CE2">
        <w:rPr>
          <w:rFonts w:ascii="Times New Roman" w:hAnsi="Times New Roman"/>
          <w:b/>
          <w:sz w:val="24"/>
          <w:szCs w:val="24"/>
        </w:rPr>
        <w:t xml:space="preserve">egional no </w:t>
      </w:r>
      <w:r>
        <w:rPr>
          <w:rFonts w:ascii="Times New Roman" w:hAnsi="Times New Roman"/>
          <w:b/>
          <w:sz w:val="24"/>
          <w:szCs w:val="24"/>
        </w:rPr>
        <w:t>B</w:t>
      </w:r>
      <w:r w:rsidRPr="00797CE2">
        <w:rPr>
          <w:rFonts w:ascii="Times New Roman" w:hAnsi="Times New Roman"/>
          <w:b/>
          <w:sz w:val="24"/>
          <w:szCs w:val="24"/>
        </w:rPr>
        <w:t>rasil</w:t>
      </w:r>
      <w:r w:rsidR="00A042D2">
        <w:rPr>
          <w:rFonts w:ascii="Times New Roman" w:hAnsi="Times New Roman"/>
          <w:b/>
          <w:sz w:val="24"/>
          <w:szCs w:val="24"/>
        </w:rPr>
        <w:t xml:space="preserve"> (1996-2008)</w:t>
      </w:r>
    </w:p>
    <w:p w14:paraId="7A3F96C6" w14:textId="77777777" w:rsidR="00F265AE" w:rsidRPr="00F265AE" w:rsidRDefault="00226145" w:rsidP="008A26E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6145">
        <w:rPr>
          <w:rFonts w:ascii="Times New Roman" w:hAnsi="Times New Roman"/>
          <w:b/>
          <w:sz w:val="24"/>
          <w:szCs w:val="24"/>
        </w:rPr>
        <w:t>RESUMO</w:t>
      </w:r>
    </w:p>
    <w:p w14:paraId="74882D5A" w14:textId="46E132B2" w:rsidR="0021631C" w:rsidRDefault="00BD6B5B" w:rsidP="008A26E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principal objetivo desse trabalho foi estimar os impactos das externalidades do mercado de trabalho analisadas por m</w:t>
      </w:r>
      <w:r w:rsidR="006047B9">
        <w:rPr>
          <w:rFonts w:ascii="Times New Roman" w:hAnsi="Times New Roman"/>
          <w:sz w:val="24"/>
          <w:szCs w:val="24"/>
        </w:rPr>
        <w:t>eios de graus de especialização e,</w:t>
      </w:r>
      <w:r>
        <w:rPr>
          <w:rFonts w:ascii="Times New Roman" w:hAnsi="Times New Roman"/>
          <w:sz w:val="24"/>
          <w:szCs w:val="24"/>
        </w:rPr>
        <w:t xml:space="preserve"> variedade relacionada e não relacionada da mobilidade</w:t>
      </w:r>
      <w:r w:rsidR="006047B9">
        <w:rPr>
          <w:rFonts w:ascii="Times New Roman" w:hAnsi="Times New Roman"/>
          <w:sz w:val="24"/>
          <w:szCs w:val="24"/>
        </w:rPr>
        <w:t xml:space="preserve">, sobre </w:t>
      </w:r>
      <w:r w:rsidR="001D635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crescimento regional </w:t>
      </w:r>
      <w:r w:rsidR="006047B9">
        <w:rPr>
          <w:rFonts w:ascii="Times New Roman" w:hAnsi="Times New Roman"/>
          <w:sz w:val="24"/>
          <w:szCs w:val="24"/>
        </w:rPr>
        <w:t>brasileiro</w:t>
      </w:r>
      <w:r>
        <w:rPr>
          <w:rFonts w:ascii="Times New Roman" w:hAnsi="Times New Roman"/>
          <w:sz w:val="24"/>
          <w:szCs w:val="24"/>
        </w:rPr>
        <w:t xml:space="preserve"> de 1996 até 2008. </w:t>
      </w:r>
      <w:r w:rsidR="006047B9">
        <w:rPr>
          <w:rFonts w:ascii="Times New Roman" w:hAnsi="Times New Roman"/>
          <w:sz w:val="24"/>
          <w:szCs w:val="24"/>
        </w:rPr>
        <w:t>Assim, f</w:t>
      </w:r>
      <w:r w:rsidR="00B44DD3">
        <w:rPr>
          <w:rFonts w:ascii="Times New Roman" w:hAnsi="Times New Roman"/>
          <w:sz w:val="24"/>
          <w:szCs w:val="24"/>
        </w:rPr>
        <w:t xml:space="preserve">oi utilizada a taxa de crescimento </w:t>
      </w:r>
      <w:r>
        <w:rPr>
          <w:rFonts w:ascii="Times New Roman" w:hAnsi="Times New Roman"/>
          <w:sz w:val="24"/>
          <w:szCs w:val="24"/>
        </w:rPr>
        <w:t xml:space="preserve">da </w:t>
      </w:r>
      <w:r w:rsidR="00B44DD3">
        <w:rPr>
          <w:rFonts w:ascii="Times New Roman" w:hAnsi="Times New Roman"/>
          <w:sz w:val="24"/>
          <w:szCs w:val="24"/>
        </w:rPr>
        <w:t>remuneração média como</w:t>
      </w:r>
      <w:r>
        <w:rPr>
          <w:rFonts w:ascii="Times New Roman" w:hAnsi="Times New Roman"/>
          <w:sz w:val="24"/>
          <w:szCs w:val="24"/>
        </w:rPr>
        <w:t xml:space="preserve"> </w:t>
      </w:r>
      <w:r w:rsidR="00B44DD3">
        <w:rPr>
          <w:rFonts w:ascii="Times New Roman" w:hAnsi="Times New Roman"/>
          <w:sz w:val="24"/>
          <w:szCs w:val="24"/>
        </w:rPr>
        <w:t>medida</w:t>
      </w:r>
      <w:r>
        <w:rPr>
          <w:rFonts w:ascii="Times New Roman" w:hAnsi="Times New Roman"/>
          <w:sz w:val="24"/>
          <w:szCs w:val="24"/>
        </w:rPr>
        <w:t xml:space="preserve"> de crescimento. </w:t>
      </w:r>
      <w:r w:rsidR="001D635B">
        <w:rPr>
          <w:rFonts w:ascii="Times New Roman" w:hAnsi="Times New Roman"/>
          <w:sz w:val="24"/>
          <w:szCs w:val="24"/>
        </w:rPr>
        <w:t xml:space="preserve">Para realizar as estimações </w:t>
      </w:r>
      <w:r w:rsidR="00B2709C">
        <w:rPr>
          <w:rFonts w:ascii="Times New Roman" w:hAnsi="Times New Roman"/>
          <w:sz w:val="24"/>
          <w:szCs w:val="24"/>
        </w:rPr>
        <w:t xml:space="preserve">foi utilizado o </w:t>
      </w:r>
      <w:r w:rsidR="001D635B">
        <w:rPr>
          <w:rFonts w:ascii="Times New Roman" w:hAnsi="Times New Roman"/>
          <w:sz w:val="24"/>
          <w:szCs w:val="24"/>
        </w:rPr>
        <w:t>modelo de Métodos de Momentos Generalizados (</w:t>
      </w:r>
      <w:r w:rsidR="002A192E">
        <w:rPr>
          <w:rFonts w:ascii="Times New Roman" w:hAnsi="Times New Roman"/>
          <w:sz w:val="24"/>
          <w:szCs w:val="24"/>
        </w:rPr>
        <w:t>MMG) devido</w:t>
      </w:r>
      <w:r w:rsidR="00B2709C">
        <w:rPr>
          <w:rFonts w:ascii="Times New Roman" w:hAnsi="Times New Roman"/>
          <w:sz w:val="24"/>
          <w:szCs w:val="24"/>
        </w:rPr>
        <w:t xml:space="preserve"> </w:t>
      </w:r>
      <w:r w:rsidR="006047B9">
        <w:rPr>
          <w:rFonts w:ascii="Times New Roman" w:hAnsi="Times New Roman"/>
          <w:sz w:val="24"/>
          <w:szCs w:val="24"/>
        </w:rPr>
        <w:t xml:space="preserve">a </w:t>
      </w:r>
      <w:r w:rsidR="001D635B">
        <w:rPr>
          <w:rFonts w:ascii="Times New Roman" w:hAnsi="Times New Roman"/>
          <w:sz w:val="24"/>
          <w:szCs w:val="24"/>
        </w:rPr>
        <w:t>uma possível endogeneidade entre mobilidade e crescimento regional.</w:t>
      </w:r>
      <w:r w:rsidR="0021631C">
        <w:rPr>
          <w:rFonts w:ascii="Times New Roman" w:hAnsi="Times New Roman"/>
          <w:sz w:val="24"/>
          <w:szCs w:val="24"/>
        </w:rPr>
        <w:t xml:space="preserve"> Os resultados indicaram que o grau de especialização intrarregional é o principal impulsionador do crescimento regional, indicando que no Brasil, a similaridade de conhecimento nos fluxos de mão de obra qualificada apresenta um impact</w:t>
      </w:r>
      <w:r w:rsidR="00DC6FB2">
        <w:rPr>
          <w:rFonts w:ascii="Times New Roman" w:hAnsi="Times New Roman"/>
          <w:sz w:val="24"/>
          <w:szCs w:val="24"/>
        </w:rPr>
        <w:t>o maior no crescimento regional.</w:t>
      </w:r>
    </w:p>
    <w:p w14:paraId="2740C69D" w14:textId="77777777" w:rsidR="00797CE2" w:rsidRPr="00007134" w:rsidRDefault="001710D5" w:rsidP="008A26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0CC1">
        <w:rPr>
          <w:rFonts w:ascii="Times New Roman" w:hAnsi="Times New Roman"/>
          <w:b/>
          <w:sz w:val="24"/>
          <w:szCs w:val="24"/>
        </w:rPr>
        <w:t>Palavras-chave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7161CC">
        <w:rPr>
          <w:rFonts w:ascii="Times New Roman" w:hAnsi="Times New Roman"/>
          <w:sz w:val="24"/>
          <w:szCs w:val="24"/>
        </w:rPr>
        <w:t>M</w:t>
      </w:r>
      <w:r w:rsidR="007161CC" w:rsidRPr="00226145">
        <w:rPr>
          <w:rFonts w:ascii="Times New Roman" w:hAnsi="Times New Roman"/>
          <w:sz w:val="24"/>
          <w:szCs w:val="24"/>
        </w:rPr>
        <w:t xml:space="preserve">obilidade </w:t>
      </w:r>
      <w:r w:rsidR="00226145" w:rsidRPr="00226145">
        <w:rPr>
          <w:rFonts w:ascii="Times New Roman" w:hAnsi="Times New Roman"/>
          <w:sz w:val="24"/>
          <w:szCs w:val="24"/>
        </w:rPr>
        <w:t>de mão de obra qualificada</w:t>
      </w:r>
      <w:r w:rsidR="007161CC">
        <w:rPr>
          <w:rFonts w:ascii="Times New Roman" w:hAnsi="Times New Roman"/>
          <w:sz w:val="24"/>
          <w:szCs w:val="24"/>
        </w:rPr>
        <w:t>;</w:t>
      </w:r>
      <w:r w:rsidR="00226145" w:rsidRPr="00226145">
        <w:rPr>
          <w:rFonts w:ascii="Times New Roman" w:hAnsi="Times New Roman"/>
          <w:sz w:val="24"/>
          <w:szCs w:val="24"/>
        </w:rPr>
        <w:t xml:space="preserve"> Crescimento regional</w:t>
      </w:r>
      <w:r w:rsidR="007161CC">
        <w:rPr>
          <w:rFonts w:ascii="Times New Roman" w:hAnsi="Times New Roman"/>
          <w:sz w:val="24"/>
          <w:szCs w:val="24"/>
        </w:rPr>
        <w:t>;</w:t>
      </w:r>
      <w:r w:rsidR="00226145" w:rsidRPr="00226145">
        <w:rPr>
          <w:rFonts w:ascii="Times New Roman" w:hAnsi="Times New Roman"/>
          <w:sz w:val="24"/>
          <w:szCs w:val="24"/>
        </w:rPr>
        <w:t xml:space="preserve"> Especialização</w:t>
      </w:r>
      <w:r w:rsidR="007161CC">
        <w:rPr>
          <w:rFonts w:ascii="Times New Roman" w:hAnsi="Times New Roman"/>
          <w:sz w:val="24"/>
          <w:szCs w:val="24"/>
        </w:rPr>
        <w:t>;</w:t>
      </w:r>
      <w:r w:rsidR="00226145" w:rsidRPr="00226145">
        <w:rPr>
          <w:rFonts w:ascii="Times New Roman" w:hAnsi="Times New Roman"/>
          <w:sz w:val="24"/>
          <w:szCs w:val="24"/>
        </w:rPr>
        <w:t xml:space="preserve"> Variedade relacionada</w:t>
      </w:r>
      <w:r w:rsidR="007161CC">
        <w:rPr>
          <w:rFonts w:ascii="Times New Roman" w:hAnsi="Times New Roman"/>
          <w:sz w:val="24"/>
          <w:szCs w:val="24"/>
        </w:rPr>
        <w:t>;</w:t>
      </w:r>
      <w:r w:rsidR="00226145" w:rsidRPr="00226145">
        <w:rPr>
          <w:rFonts w:ascii="Times New Roman" w:hAnsi="Times New Roman"/>
          <w:sz w:val="24"/>
          <w:szCs w:val="24"/>
        </w:rPr>
        <w:t xml:space="preserve"> </w:t>
      </w:r>
      <w:r w:rsidR="00226145" w:rsidRPr="00007134">
        <w:rPr>
          <w:rFonts w:ascii="Times New Roman" w:hAnsi="Times New Roman"/>
          <w:sz w:val="24"/>
          <w:szCs w:val="24"/>
        </w:rPr>
        <w:t>Variedade não-relacionada</w:t>
      </w:r>
      <w:r w:rsidR="007161CC">
        <w:rPr>
          <w:rFonts w:ascii="Times New Roman" w:hAnsi="Times New Roman"/>
          <w:sz w:val="24"/>
          <w:szCs w:val="24"/>
        </w:rPr>
        <w:t>;</w:t>
      </w:r>
      <w:r w:rsidR="00226145" w:rsidRPr="00007134">
        <w:rPr>
          <w:rFonts w:ascii="Times New Roman" w:hAnsi="Times New Roman"/>
          <w:sz w:val="24"/>
          <w:szCs w:val="24"/>
        </w:rPr>
        <w:t xml:space="preserve"> GMM.</w:t>
      </w:r>
    </w:p>
    <w:p w14:paraId="554FD5F8" w14:textId="77777777" w:rsidR="00C2481A" w:rsidRDefault="00C2481A" w:rsidP="008A26E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D5BED2" w14:textId="44C222D4" w:rsidR="004714CE" w:rsidRPr="00C2481A" w:rsidRDefault="00C2481A" w:rsidP="008A26E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2481A">
        <w:rPr>
          <w:rFonts w:ascii="Times New Roman" w:hAnsi="Times New Roman"/>
          <w:b/>
          <w:sz w:val="24"/>
          <w:szCs w:val="24"/>
          <w:lang w:val="en-US"/>
        </w:rPr>
        <w:t xml:space="preserve">Labor 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 w:rsidRPr="00C2481A">
        <w:rPr>
          <w:rFonts w:ascii="Times New Roman" w:hAnsi="Times New Roman"/>
          <w:b/>
          <w:sz w:val="24"/>
          <w:szCs w:val="24"/>
          <w:lang w:val="en-US"/>
        </w:rPr>
        <w:t>arket externalities and regional growth in Brazil</w:t>
      </w:r>
      <w:r w:rsidR="00A042D2">
        <w:rPr>
          <w:rFonts w:ascii="Times New Roman" w:hAnsi="Times New Roman"/>
          <w:b/>
          <w:sz w:val="24"/>
          <w:szCs w:val="24"/>
          <w:lang w:val="en-US"/>
        </w:rPr>
        <w:t xml:space="preserve"> (1996-2008)</w:t>
      </w:r>
    </w:p>
    <w:p w14:paraId="7B1044AE" w14:textId="77777777" w:rsidR="00C92584" w:rsidRPr="00966DED" w:rsidRDefault="00226145" w:rsidP="008A26E4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966DED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14:paraId="3A27CAA3" w14:textId="18EFBE84" w:rsidR="00C643F6" w:rsidRPr="00797CE2" w:rsidRDefault="00B7669E" w:rsidP="008A26E4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7669E">
        <w:rPr>
          <w:rFonts w:ascii="Times New Roman" w:hAnsi="Times New Roman"/>
          <w:sz w:val="24"/>
          <w:szCs w:val="24"/>
          <w:lang w:val="en-US"/>
        </w:rPr>
        <w:t xml:space="preserve">The main objective of this study was to estimate the impacts of externalities in the labor market analyzed by degrees of specialization, related and unrelated variety of mobility </w:t>
      </w:r>
      <w:r w:rsidR="006047B9">
        <w:rPr>
          <w:rFonts w:ascii="Times New Roman" w:hAnsi="Times New Roman"/>
          <w:sz w:val="24"/>
          <w:szCs w:val="24"/>
          <w:lang w:val="en-US"/>
        </w:rPr>
        <w:t>o</w:t>
      </w:r>
      <w:r w:rsidRPr="00B7669E">
        <w:rPr>
          <w:rFonts w:ascii="Times New Roman" w:hAnsi="Times New Roman"/>
          <w:sz w:val="24"/>
          <w:szCs w:val="24"/>
          <w:lang w:val="en-US"/>
        </w:rPr>
        <w:t xml:space="preserve">n </w:t>
      </w:r>
      <w:r w:rsidR="006047B9">
        <w:rPr>
          <w:rFonts w:ascii="Times New Roman" w:hAnsi="Times New Roman"/>
          <w:sz w:val="24"/>
          <w:szCs w:val="24"/>
          <w:lang w:val="en-US"/>
        </w:rPr>
        <w:t xml:space="preserve">Brazilian’s </w:t>
      </w:r>
      <w:r w:rsidRPr="00B7669E">
        <w:rPr>
          <w:rFonts w:ascii="Times New Roman" w:hAnsi="Times New Roman"/>
          <w:sz w:val="24"/>
          <w:szCs w:val="24"/>
          <w:lang w:val="en-US"/>
        </w:rPr>
        <w:t xml:space="preserve">regional growth from 1996 to 2008. </w:t>
      </w:r>
      <w:r w:rsidR="00B44DD3" w:rsidRPr="00B44DD3">
        <w:rPr>
          <w:rFonts w:ascii="Times New Roman" w:hAnsi="Times New Roman"/>
          <w:sz w:val="24"/>
          <w:szCs w:val="24"/>
          <w:lang w:val="en-US"/>
        </w:rPr>
        <w:t>Th</w:t>
      </w:r>
      <w:r w:rsidR="006047B9">
        <w:rPr>
          <w:rFonts w:ascii="Times New Roman" w:hAnsi="Times New Roman"/>
          <w:sz w:val="24"/>
          <w:szCs w:val="24"/>
          <w:lang w:val="en-US"/>
        </w:rPr>
        <w:t>us, th</w:t>
      </w:r>
      <w:r w:rsidR="00B44DD3" w:rsidRPr="00B44DD3">
        <w:rPr>
          <w:rFonts w:ascii="Times New Roman" w:hAnsi="Times New Roman"/>
          <w:sz w:val="24"/>
          <w:szCs w:val="24"/>
          <w:lang w:val="en-US"/>
        </w:rPr>
        <w:t xml:space="preserve">e growth rate of the average remuneration was used as </w:t>
      </w:r>
      <w:r w:rsidR="00B44DD3">
        <w:rPr>
          <w:rFonts w:ascii="Times New Roman" w:hAnsi="Times New Roman"/>
          <w:sz w:val="24"/>
          <w:szCs w:val="24"/>
          <w:lang w:val="en-US"/>
        </w:rPr>
        <w:t xml:space="preserve">regional growth’s </w:t>
      </w:r>
      <w:r w:rsidR="00B44DD3" w:rsidRPr="00B44DD3">
        <w:rPr>
          <w:rFonts w:ascii="Times New Roman" w:hAnsi="Times New Roman"/>
          <w:sz w:val="24"/>
          <w:szCs w:val="24"/>
          <w:lang w:val="en-US"/>
        </w:rPr>
        <w:t>measure</w:t>
      </w:r>
      <w:r w:rsidRPr="00F5264E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161CC">
        <w:rPr>
          <w:rFonts w:ascii="Times New Roman" w:hAnsi="Times New Roman"/>
          <w:sz w:val="24"/>
          <w:szCs w:val="24"/>
          <w:lang w:val="en-US"/>
        </w:rPr>
        <w:t>The model was estimated using</w:t>
      </w:r>
      <w:r w:rsidR="00F5264E">
        <w:rPr>
          <w:rFonts w:ascii="Times New Roman" w:hAnsi="Times New Roman"/>
          <w:sz w:val="24"/>
          <w:szCs w:val="24"/>
          <w:lang w:val="en-US"/>
        </w:rPr>
        <w:t xml:space="preserve"> Generalized Moment Methods (GMM) due </w:t>
      </w:r>
      <w:r w:rsidR="007161CC">
        <w:rPr>
          <w:rFonts w:ascii="Times New Roman" w:hAnsi="Times New Roman"/>
          <w:sz w:val="24"/>
          <w:szCs w:val="24"/>
          <w:lang w:val="en-US"/>
        </w:rPr>
        <w:t xml:space="preserve">to </w:t>
      </w:r>
      <w:r w:rsidR="00F5264E">
        <w:rPr>
          <w:rFonts w:ascii="Times New Roman" w:hAnsi="Times New Roman"/>
          <w:sz w:val="24"/>
          <w:szCs w:val="24"/>
          <w:lang w:val="en-US"/>
        </w:rPr>
        <w:t>possible endogeneity</w:t>
      </w:r>
      <w:r w:rsidR="007161CC">
        <w:rPr>
          <w:rFonts w:ascii="Times New Roman" w:hAnsi="Times New Roman"/>
          <w:sz w:val="24"/>
          <w:szCs w:val="24"/>
          <w:lang w:val="en-US"/>
        </w:rPr>
        <w:t xml:space="preserve"> issues existing</w:t>
      </w:r>
      <w:r w:rsidR="00F5264E">
        <w:rPr>
          <w:rFonts w:ascii="Times New Roman" w:hAnsi="Times New Roman"/>
          <w:sz w:val="24"/>
          <w:szCs w:val="24"/>
          <w:lang w:val="en-US"/>
        </w:rPr>
        <w:t xml:space="preserve"> between mobility and regional growth. </w:t>
      </w:r>
      <w:r w:rsidR="00C643F6">
        <w:rPr>
          <w:rFonts w:ascii="Times New Roman" w:hAnsi="Times New Roman"/>
          <w:sz w:val="24"/>
          <w:szCs w:val="24"/>
          <w:lang w:val="en-US"/>
        </w:rPr>
        <w:t xml:space="preserve">The results indicated that the </w:t>
      </w:r>
      <w:r w:rsidR="007161CC">
        <w:rPr>
          <w:rFonts w:ascii="Times New Roman" w:hAnsi="Times New Roman"/>
          <w:sz w:val="24"/>
          <w:szCs w:val="24"/>
          <w:lang w:val="en-US"/>
        </w:rPr>
        <w:t xml:space="preserve">degree of </w:t>
      </w:r>
      <w:r w:rsidR="00C643F6">
        <w:rPr>
          <w:rFonts w:ascii="Times New Roman" w:hAnsi="Times New Roman"/>
          <w:sz w:val="24"/>
          <w:szCs w:val="24"/>
          <w:lang w:val="en-US"/>
        </w:rPr>
        <w:t>intra</w:t>
      </w:r>
      <w:r w:rsidR="007161CC">
        <w:rPr>
          <w:rFonts w:ascii="Times New Roman" w:hAnsi="Times New Roman"/>
          <w:sz w:val="24"/>
          <w:szCs w:val="24"/>
          <w:lang w:val="en-US"/>
        </w:rPr>
        <w:t>-</w:t>
      </w:r>
      <w:r w:rsidR="00C643F6">
        <w:rPr>
          <w:rFonts w:ascii="Times New Roman" w:hAnsi="Times New Roman"/>
          <w:sz w:val="24"/>
          <w:szCs w:val="24"/>
          <w:lang w:val="en-US"/>
        </w:rPr>
        <w:t xml:space="preserve">regional specialization is the </w:t>
      </w:r>
      <w:r w:rsidR="00611917">
        <w:rPr>
          <w:rFonts w:ascii="Times New Roman" w:hAnsi="Times New Roman"/>
          <w:sz w:val="24"/>
          <w:szCs w:val="24"/>
          <w:lang w:val="en-US"/>
        </w:rPr>
        <w:t xml:space="preserve">main driver of the </w:t>
      </w:r>
      <w:r w:rsidR="00C643F6">
        <w:rPr>
          <w:rFonts w:ascii="Times New Roman" w:hAnsi="Times New Roman"/>
          <w:sz w:val="24"/>
          <w:szCs w:val="24"/>
          <w:lang w:val="en-US"/>
        </w:rPr>
        <w:t>regional growth</w:t>
      </w:r>
      <w:r w:rsidR="00611917">
        <w:rPr>
          <w:rFonts w:ascii="Times New Roman" w:hAnsi="Times New Roman"/>
          <w:sz w:val="24"/>
          <w:szCs w:val="24"/>
          <w:lang w:val="en-US"/>
        </w:rPr>
        <w:t xml:space="preserve"> in the period</w:t>
      </w:r>
      <w:r w:rsidR="00C643F6">
        <w:rPr>
          <w:rFonts w:ascii="Times New Roman" w:hAnsi="Times New Roman"/>
          <w:sz w:val="24"/>
          <w:szCs w:val="24"/>
          <w:lang w:val="en-US"/>
        </w:rPr>
        <w:t>, indicating that in Brazil the knowledge similarity in skilled labor’s flow has a greater impact on regional growth.</w:t>
      </w:r>
    </w:p>
    <w:p w14:paraId="239599C5" w14:textId="77777777" w:rsidR="008A6817" w:rsidRDefault="00226145" w:rsidP="008A26E4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26145">
        <w:rPr>
          <w:rFonts w:ascii="Times New Roman" w:hAnsi="Times New Roman"/>
          <w:b/>
          <w:sz w:val="24"/>
          <w:szCs w:val="24"/>
          <w:lang w:val="en-US"/>
        </w:rPr>
        <w:t xml:space="preserve">Keywords: </w:t>
      </w:r>
      <w:r w:rsidRPr="00226145">
        <w:rPr>
          <w:rFonts w:ascii="Times New Roman" w:hAnsi="Times New Roman"/>
          <w:sz w:val="24"/>
          <w:szCs w:val="24"/>
          <w:lang w:val="en-US"/>
        </w:rPr>
        <w:t xml:space="preserve">Skilled </w:t>
      </w:r>
      <w:r w:rsidR="007161CC">
        <w:rPr>
          <w:rFonts w:ascii="Times New Roman" w:hAnsi="Times New Roman"/>
          <w:sz w:val="24"/>
          <w:szCs w:val="24"/>
          <w:lang w:val="en-US"/>
        </w:rPr>
        <w:t>L</w:t>
      </w:r>
      <w:r w:rsidR="007161CC" w:rsidRPr="00226145">
        <w:rPr>
          <w:rFonts w:ascii="Times New Roman" w:hAnsi="Times New Roman"/>
          <w:sz w:val="24"/>
          <w:szCs w:val="24"/>
          <w:lang w:val="en-US"/>
        </w:rPr>
        <w:t xml:space="preserve">abor </w:t>
      </w:r>
      <w:r w:rsidR="007161CC">
        <w:rPr>
          <w:rFonts w:ascii="Times New Roman" w:hAnsi="Times New Roman"/>
          <w:sz w:val="24"/>
          <w:szCs w:val="24"/>
          <w:lang w:val="en-US"/>
        </w:rPr>
        <w:t>M</w:t>
      </w:r>
      <w:r w:rsidRPr="00226145">
        <w:rPr>
          <w:rFonts w:ascii="Times New Roman" w:hAnsi="Times New Roman"/>
          <w:sz w:val="24"/>
          <w:szCs w:val="24"/>
          <w:lang w:val="en-US"/>
        </w:rPr>
        <w:t>obility</w:t>
      </w:r>
      <w:r w:rsidR="007161CC">
        <w:rPr>
          <w:rFonts w:ascii="Times New Roman" w:hAnsi="Times New Roman"/>
          <w:sz w:val="24"/>
          <w:szCs w:val="24"/>
          <w:lang w:val="en-US"/>
        </w:rPr>
        <w:t>;</w:t>
      </w:r>
      <w:r w:rsidR="007161CC" w:rsidRPr="002261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26145">
        <w:rPr>
          <w:rFonts w:ascii="Times New Roman" w:hAnsi="Times New Roman"/>
          <w:sz w:val="24"/>
          <w:szCs w:val="24"/>
          <w:lang w:val="en-US"/>
        </w:rPr>
        <w:t xml:space="preserve">Regional </w:t>
      </w:r>
      <w:r w:rsidR="007161CC">
        <w:rPr>
          <w:rFonts w:ascii="Times New Roman" w:hAnsi="Times New Roman"/>
          <w:sz w:val="24"/>
          <w:szCs w:val="24"/>
          <w:lang w:val="en-US"/>
        </w:rPr>
        <w:t>G</w:t>
      </w:r>
      <w:r w:rsidR="007161CC" w:rsidRPr="00226145">
        <w:rPr>
          <w:rFonts w:ascii="Times New Roman" w:hAnsi="Times New Roman"/>
          <w:sz w:val="24"/>
          <w:szCs w:val="24"/>
          <w:lang w:val="en-US"/>
        </w:rPr>
        <w:t>rowth</w:t>
      </w:r>
      <w:r w:rsidR="007161CC">
        <w:rPr>
          <w:rFonts w:ascii="Times New Roman" w:hAnsi="Times New Roman"/>
          <w:sz w:val="24"/>
          <w:szCs w:val="24"/>
          <w:lang w:val="en-US"/>
        </w:rPr>
        <w:t>;</w:t>
      </w:r>
      <w:r w:rsidRPr="00226145">
        <w:rPr>
          <w:rFonts w:ascii="Times New Roman" w:hAnsi="Times New Roman"/>
          <w:sz w:val="24"/>
          <w:szCs w:val="24"/>
          <w:lang w:val="en-US"/>
        </w:rPr>
        <w:t xml:space="preserve"> Specialization</w:t>
      </w:r>
      <w:r w:rsidR="007161CC">
        <w:rPr>
          <w:rFonts w:ascii="Times New Roman" w:hAnsi="Times New Roman"/>
          <w:sz w:val="24"/>
          <w:szCs w:val="24"/>
          <w:lang w:val="en-US"/>
        </w:rPr>
        <w:t>;</w:t>
      </w:r>
      <w:r w:rsidRPr="00226145">
        <w:rPr>
          <w:rFonts w:ascii="Times New Roman" w:hAnsi="Times New Roman"/>
          <w:sz w:val="24"/>
          <w:szCs w:val="24"/>
          <w:lang w:val="en-US"/>
        </w:rPr>
        <w:t xml:space="preserve"> Related Variety</w:t>
      </w:r>
      <w:r w:rsidR="007161CC">
        <w:rPr>
          <w:rFonts w:ascii="Times New Roman" w:hAnsi="Times New Roman"/>
          <w:sz w:val="24"/>
          <w:szCs w:val="24"/>
          <w:lang w:val="en-US"/>
        </w:rPr>
        <w:t>;</w:t>
      </w:r>
      <w:r w:rsidRPr="002261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7669E" w:rsidRPr="00F5264E">
        <w:rPr>
          <w:rFonts w:ascii="Times New Roman" w:hAnsi="Times New Roman"/>
          <w:sz w:val="24"/>
          <w:szCs w:val="24"/>
          <w:lang w:val="en-US"/>
        </w:rPr>
        <w:t>Unrelated</w:t>
      </w:r>
      <w:r w:rsidR="00B7669E" w:rsidRPr="00F5264E">
        <w:rPr>
          <w:rFonts w:ascii="AdvOT6eb13881" w:hAnsi="AdvOT6eb13881" w:cs="AdvOT6eb13881"/>
          <w:sz w:val="21"/>
          <w:szCs w:val="21"/>
          <w:lang w:val="en-US" w:eastAsia="pt-BR"/>
        </w:rPr>
        <w:t xml:space="preserve"> </w:t>
      </w:r>
      <w:r w:rsidR="007161CC">
        <w:rPr>
          <w:rFonts w:ascii="AdvOT6eb13881" w:hAnsi="AdvOT6eb13881" w:cs="AdvOT6eb13881"/>
          <w:sz w:val="21"/>
          <w:szCs w:val="21"/>
          <w:lang w:val="en-US" w:eastAsia="pt-BR"/>
        </w:rPr>
        <w:t>V</w:t>
      </w:r>
      <w:r w:rsidR="00B7669E" w:rsidRPr="00F5264E">
        <w:rPr>
          <w:rFonts w:ascii="Times New Roman" w:hAnsi="Times New Roman"/>
          <w:sz w:val="24"/>
          <w:szCs w:val="24"/>
          <w:lang w:val="en-US"/>
        </w:rPr>
        <w:t>ariety</w:t>
      </w:r>
      <w:r w:rsidR="007161CC">
        <w:rPr>
          <w:rFonts w:ascii="Times New Roman" w:hAnsi="Times New Roman"/>
          <w:sz w:val="24"/>
          <w:szCs w:val="24"/>
          <w:lang w:val="en-US"/>
        </w:rPr>
        <w:t>;</w:t>
      </w:r>
      <w:r w:rsidR="00B7669E" w:rsidRPr="00F5264E">
        <w:rPr>
          <w:rFonts w:ascii="Times New Roman" w:hAnsi="Times New Roman"/>
          <w:sz w:val="24"/>
          <w:szCs w:val="24"/>
          <w:lang w:val="en-US"/>
        </w:rPr>
        <w:t xml:space="preserve"> GMM</w:t>
      </w:r>
    </w:p>
    <w:p w14:paraId="3D38EA24" w14:textId="77777777" w:rsidR="00F64E73" w:rsidRPr="00797CE2" w:rsidRDefault="00F64E73" w:rsidP="008A26E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7CE2">
        <w:rPr>
          <w:rFonts w:ascii="Times New Roman" w:hAnsi="Times New Roman"/>
          <w:b/>
          <w:sz w:val="24"/>
          <w:szCs w:val="24"/>
        </w:rPr>
        <w:t>Código JEL</w:t>
      </w:r>
      <w:r w:rsidRPr="00797CE2">
        <w:rPr>
          <w:rFonts w:ascii="Times New Roman" w:hAnsi="Times New Roman"/>
          <w:sz w:val="24"/>
          <w:szCs w:val="24"/>
        </w:rPr>
        <w:t>: O14</w:t>
      </w:r>
      <w:r w:rsidR="007161CC">
        <w:rPr>
          <w:rFonts w:ascii="Times New Roman" w:hAnsi="Times New Roman"/>
          <w:sz w:val="24"/>
          <w:szCs w:val="24"/>
        </w:rPr>
        <w:t>;</w:t>
      </w:r>
      <w:r w:rsidRPr="00797CE2">
        <w:rPr>
          <w:rFonts w:ascii="Times New Roman" w:hAnsi="Times New Roman"/>
          <w:sz w:val="24"/>
          <w:szCs w:val="24"/>
        </w:rPr>
        <w:t xml:space="preserve"> C33</w:t>
      </w:r>
      <w:r w:rsidR="007161CC">
        <w:rPr>
          <w:rFonts w:ascii="Times New Roman" w:hAnsi="Times New Roman"/>
          <w:sz w:val="24"/>
          <w:szCs w:val="24"/>
        </w:rPr>
        <w:t>;</w:t>
      </w:r>
      <w:r w:rsidRPr="00797CE2">
        <w:rPr>
          <w:rFonts w:ascii="Times New Roman" w:hAnsi="Times New Roman"/>
          <w:sz w:val="24"/>
          <w:szCs w:val="24"/>
        </w:rPr>
        <w:t xml:space="preserve"> </w:t>
      </w:r>
      <w:r w:rsidR="007161CC" w:rsidRPr="00797CE2">
        <w:rPr>
          <w:rFonts w:ascii="Times New Roman" w:hAnsi="Times New Roman"/>
          <w:sz w:val="24"/>
          <w:szCs w:val="24"/>
        </w:rPr>
        <w:t>J6</w:t>
      </w:r>
      <w:r w:rsidR="007161CC">
        <w:rPr>
          <w:rFonts w:ascii="Times New Roman" w:hAnsi="Times New Roman"/>
          <w:sz w:val="24"/>
          <w:szCs w:val="24"/>
        </w:rPr>
        <w:t>0</w:t>
      </w:r>
      <w:r w:rsidRPr="00797CE2">
        <w:rPr>
          <w:rFonts w:ascii="Times New Roman" w:hAnsi="Times New Roman"/>
          <w:sz w:val="24"/>
          <w:szCs w:val="24"/>
        </w:rPr>
        <w:t>.</w:t>
      </w:r>
    </w:p>
    <w:p w14:paraId="710F8083" w14:textId="06E6D924" w:rsidR="004714CE" w:rsidRDefault="004714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1E68F82" w14:textId="75844167" w:rsidR="00427388" w:rsidRDefault="00427388" w:rsidP="008A26E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INTRODUÇÃO</w:t>
      </w:r>
    </w:p>
    <w:p w14:paraId="151C55DB" w14:textId="26405E85" w:rsidR="00C65DAD" w:rsidRDefault="005D7896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novas teorias de cres</w:t>
      </w:r>
      <w:r w:rsidR="00C82465">
        <w:rPr>
          <w:rFonts w:ascii="Times New Roman" w:hAnsi="Times New Roman"/>
          <w:sz w:val="24"/>
          <w:szCs w:val="24"/>
        </w:rPr>
        <w:t xml:space="preserve">cimento </w:t>
      </w:r>
      <w:r w:rsidR="00EC538D">
        <w:rPr>
          <w:rFonts w:ascii="Times New Roman" w:hAnsi="Times New Roman"/>
          <w:sz w:val="24"/>
          <w:szCs w:val="24"/>
        </w:rPr>
        <w:t xml:space="preserve">endógeno </w:t>
      </w:r>
      <w:r w:rsidR="00C82465">
        <w:rPr>
          <w:rFonts w:ascii="Times New Roman" w:hAnsi="Times New Roman"/>
          <w:sz w:val="24"/>
          <w:szCs w:val="24"/>
        </w:rPr>
        <w:t>têm focado no papel da diversidade</w:t>
      </w:r>
      <w:r>
        <w:rPr>
          <w:rFonts w:ascii="Times New Roman" w:hAnsi="Times New Roman"/>
          <w:sz w:val="24"/>
          <w:szCs w:val="24"/>
        </w:rPr>
        <w:t xml:space="preserve"> </w:t>
      </w:r>
      <w:r w:rsidR="005E4231">
        <w:rPr>
          <w:rFonts w:ascii="Times New Roman" w:hAnsi="Times New Roman"/>
          <w:sz w:val="24"/>
          <w:szCs w:val="24"/>
        </w:rPr>
        <w:t xml:space="preserve">de conhecimento </w:t>
      </w:r>
      <w:r>
        <w:rPr>
          <w:rFonts w:ascii="Times New Roman" w:hAnsi="Times New Roman"/>
          <w:sz w:val="24"/>
          <w:szCs w:val="24"/>
        </w:rPr>
        <w:t xml:space="preserve">e </w:t>
      </w:r>
      <w:r w:rsidR="006047B9">
        <w:rPr>
          <w:rFonts w:ascii="Times New Roman" w:hAnsi="Times New Roman"/>
          <w:sz w:val="24"/>
          <w:szCs w:val="24"/>
        </w:rPr>
        <w:t xml:space="preserve">dos </w:t>
      </w:r>
      <w:r>
        <w:rPr>
          <w:rFonts w:ascii="Times New Roman" w:hAnsi="Times New Roman"/>
          <w:sz w:val="24"/>
          <w:szCs w:val="24"/>
        </w:rPr>
        <w:t>transbordamento</w:t>
      </w:r>
      <w:r w:rsidR="005E423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em promover o crescimento regional (FRENKEN </w:t>
      </w:r>
      <w:r>
        <w:rPr>
          <w:rFonts w:ascii="Times New Roman" w:hAnsi="Times New Roman"/>
          <w:i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>.</w:t>
      </w:r>
      <w:r w:rsidR="006119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2007</w:t>
      </w:r>
      <w:r w:rsidR="007D0198">
        <w:rPr>
          <w:rFonts w:ascii="Times New Roman" w:hAnsi="Times New Roman"/>
          <w:sz w:val="24"/>
          <w:szCs w:val="24"/>
        </w:rPr>
        <w:t>)</w:t>
      </w:r>
      <w:r w:rsidR="00DE6E27">
        <w:rPr>
          <w:rFonts w:ascii="Times New Roman" w:hAnsi="Times New Roman"/>
          <w:sz w:val="24"/>
          <w:szCs w:val="24"/>
        </w:rPr>
        <w:t xml:space="preserve">. </w:t>
      </w:r>
      <w:r w:rsidR="00A2482D">
        <w:rPr>
          <w:rFonts w:ascii="Times New Roman" w:hAnsi="Times New Roman"/>
          <w:sz w:val="24"/>
          <w:szCs w:val="24"/>
        </w:rPr>
        <w:t xml:space="preserve">Por meio de novos conhecimentos, </w:t>
      </w:r>
      <w:r w:rsidR="00715E56" w:rsidRPr="006664C5">
        <w:rPr>
          <w:rFonts w:ascii="Times New Roman" w:hAnsi="Times New Roman"/>
          <w:sz w:val="24"/>
          <w:szCs w:val="24"/>
        </w:rPr>
        <w:t>inovações incrementais e inovaç</w:t>
      </w:r>
      <w:r w:rsidR="00715E56" w:rsidRPr="00923389">
        <w:rPr>
          <w:rFonts w:ascii="Times New Roman" w:hAnsi="Times New Roman"/>
          <w:sz w:val="24"/>
          <w:szCs w:val="24"/>
        </w:rPr>
        <w:t>ões radicais</w:t>
      </w:r>
      <w:r w:rsidR="008A3797" w:rsidRPr="00BB428C">
        <w:rPr>
          <w:rStyle w:val="Refdenotaderodap"/>
          <w:rFonts w:ascii="Times New Roman" w:hAnsi="Times New Roman"/>
          <w:sz w:val="24"/>
          <w:szCs w:val="24"/>
        </w:rPr>
        <w:footnoteReference w:id="1"/>
      </w:r>
      <w:r w:rsidR="00A2482D">
        <w:rPr>
          <w:rFonts w:ascii="Times New Roman" w:hAnsi="Times New Roman"/>
          <w:sz w:val="24"/>
          <w:szCs w:val="24"/>
        </w:rPr>
        <w:t xml:space="preserve"> são criadas, impulsionando a produtividade e o nível de emprego das regiões (</w:t>
      </w:r>
      <w:r w:rsidR="00DC7CF7">
        <w:rPr>
          <w:rFonts w:ascii="Times New Roman" w:hAnsi="Times New Roman"/>
          <w:sz w:val="24"/>
          <w:szCs w:val="24"/>
        </w:rPr>
        <w:t>BOSCHMA</w:t>
      </w:r>
      <w:r w:rsidR="00A2482D">
        <w:rPr>
          <w:rFonts w:ascii="Times New Roman" w:hAnsi="Times New Roman"/>
          <w:sz w:val="24"/>
          <w:szCs w:val="24"/>
        </w:rPr>
        <w:t xml:space="preserve"> </w:t>
      </w:r>
      <w:r w:rsidR="00A2482D">
        <w:rPr>
          <w:rFonts w:ascii="Times New Roman" w:hAnsi="Times New Roman"/>
          <w:i/>
          <w:sz w:val="24"/>
          <w:szCs w:val="24"/>
        </w:rPr>
        <w:t>et al</w:t>
      </w:r>
      <w:r w:rsidR="00DC7CF7">
        <w:rPr>
          <w:rFonts w:ascii="Times New Roman" w:hAnsi="Times New Roman"/>
          <w:sz w:val="24"/>
          <w:szCs w:val="24"/>
        </w:rPr>
        <w:t xml:space="preserve">., </w:t>
      </w:r>
      <w:r w:rsidR="00A2482D">
        <w:rPr>
          <w:rFonts w:ascii="Times New Roman" w:hAnsi="Times New Roman"/>
          <w:sz w:val="24"/>
          <w:szCs w:val="24"/>
        </w:rPr>
        <w:t>200</w:t>
      </w:r>
      <w:r w:rsidR="00DC7CF7">
        <w:rPr>
          <w:rFonts w:ascii="Times New Roman" w:hAnsi="Times New Roman"/>
          <w:sz w:val="24"/>
          <w:szCs w:val="24"/>
        </w:rPr>
        <w:t>9</w:t>
      </w:r>
      <w:r w:rsidR="00A2482D">
        <w:rPr>
          <w:rFonts w:ascii="Times New Roman" w:hAnsi="Times New Roman"/>
          <w:sz w:val="24"/>
          <w:szCs w:val="24"/>
        </w:rPr>
        <w:t>)</w:t>
      </w:r>
      <w:r w:rsidR="00DC7CF7">
        <w:rPr>
          <w:rFonts w:ascii="Times New Roman" w:hAnsi="Times New Roman"/>
          <w:sz w:val="24"/>
          <w:szCs w:val="24"/>
        </w:rPr>
        <w:t xml:space="preserve">, </w:t>
      </w:r>
      <w:r w:rsidR="006047B9">
        <w:rPr>
          <w:rFonts w:ascii="Times New Roman" w:hAnsi="Times New Roman"/>
          <w:sz w:val="24"/>
          <w:szCs w:val="24"/>
        </w:rPr>
        <w:t xml:space="preserve">sendo </w:t>
      </w:r>
      <w:r w:rsidR="00DC7CF7">
        <w:rPr>
          <w:rFonts w:ascii="Times New Roman" w:hAnsi="Times New Roman"/>
          <w:sz w:val="24"/>
          <w:szCs w:val="24"/>
        </w:rPr>
        <w:t xml:space="preserve">a diversidade uma das principais fontes de crescimento (JACOBS, 1969). </w:t>
      </w:r>
    </w:p>
    <w:p w14:paraId="7B166E0C" w14:textId="0076D20A" w:rsidR="00797CDC" w:rsidRDefault="007E2DB3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literatura, o conhecimento é </w:t>
      </w:r>
      <w:r w:rsidR="006B6A0C">
        <w:rPr>
          <w:rFonts w:ascii="Times New Roman" w:hAnsi="Times New Roman"/>
          <w:sz w:val="24"/>
          <w:szCs w:val="24"/>
        </w:rPr>
        <w:t xml:space="preserve">dividido em dois tipos: tácito e codificado. </w:t>
      </w:r>
      <w:r w:rsidR="00C65DAD">
        <w:rPr>
          <w:rFonts w:ascii="Times New Roman" w:hAnsi="Times New Roman"/>
          <w:sz w:val="24"/>
          <w:szCs w:val="24"/>
        </w:rPr>
        <w:t>O conhecimento codificado tem uma facilidade maior de ser espraiado (FAGGIAN e M</w:t>
      </w:r>
      <w:r w:rsidR="009B4E22">
        <w:rPr>
          <w:rFonts w:ascii="Times New Roman" w:hAnsi="Times New Roman"/>
          <w:sz w:val="24"/>
          <w:szCs w:val="24"/>
        </w:rPr>
        <w:t>C</w:t>
      </w:r>
      <w:r w:rsidR="00C65DAD">
        <w:rPr>
          <w:rFonts w:ascii="Times New Roman" w:hAnsi="Times New Roman"/>
          <w:sz w:val="24"/>
          <w:szCs w:val="24"/>
        </w:rPr>
        <w:t>CANN, 2004), pois é facilmente decodificado</w:t>
      </w:r>
      <w:r w:rsidR="00284698">
        <w:rPr>
          <w:rFonts w:ascii="Times New Roman" w:hAnsi="Times New Roman"/>
          <w:sz w:val="24"/>
          <w:szCs w:val="24"/>
        </w:rPr>
        <w:t xml:space="preserve"> e transmitido por meios formais, como livros e textos</w:t>
      </w:r>
      <w:r w:rsidR="00EC13CF">
        <w:rPr>
          <w:rFonts w:ascii="Times New Roman" w:hAnsi="Times New Roman"/>
          <w:sz w:val="24"/>
          <w:szCs w:val="24"/>
        </w:rPr>
        <w:t>.</w:t>
      </w:r>
      <w:r w:rsidR="00C65DAD">
        <w:rPr>
          <w:rFonts w:ascii="Times New Roman" w:hAnsi="Times New Roman"/>
          <w:sz w:val="24"/>
          <w:szCs w:val="24"/>
        </w:rPr>
        <w:t xml:space="preserve"> </w:t>
      </w:r>
      <w:r w:rsidR="00EC13CF">
        <w:rPr>
          <w:rFonts w:ascii="Times New Roman" w:hAnsi="Times New Roman"/>
          <w:sz w:val="24"/>
          <w:szCs w:val="24"/>
        </w:rPr>
        <w:t>J</w:t>
      </w:r>
      <w:r w:rsidR="00C65DAD">
        <w:rPr>
          <w:rFonts w:ascii="Times New Roman" w:hAnsi="Times New Roman"/>
          <w:sz w:val="24"/>
          <w:szCs w:val="24"/>
        </w:rPr>
        <w:t xml:space="preserve">á o conhecimento tácito apresenta uma dificuldade maior </w:t>
      </w:r>
      <w:r w:rsidR="00EC13CF">
        <w:rPr>
          <w:rFonts w:ascii="Times New Roman" w:hAnsi="Times New Roman"/>
          <w:sz w:val="24"/>
          <w:szCs w:val="24"/>
        </w:rPr>
        <w:t xml:space="preserve">de difusão </w:t>
      </w:r>
      <w:r w:rsidR="00C65DAD">
        <w:rPr>
          <w:rFonts w:ascii="Times New Roman" w:hAnsi="Times New Roman"/>
          <w:sz w:val="24"/>
          <w:szCs w:val="24"/>
        </w:rPr>
        <w:t xml:space="preserve">(FRATESI, 2014), </w:t>
      </w:r>
      <w:r w:rsidR="00EC13CF">
        <w:rPr>
          <w:rFonts w:ascii="Times New Roman" w:hAnsi="Times New Roman"/>
          <w:sz w:val="24"/>
          <w:szCs w:val="24"/>
        </w:rPr>
        <w:t>pois</w:t>
      </w:r>
      <w:r w:rsidR="00C65DAD">
        <w:rPr>
          <w:rFonts w:ascii="Times New Roman" w:hAnsi="Times New Roman"/>
          <w:sz w:val="24"/>
          <w:szCs w:val="24"/>
        </w:rPr>
        <w:t xml:space="preserve"> se trata de um conhecimento </w:t>
      </w:r>
      <w:r w:rsidR="006047B9">
        <w:rPr>
          <w:rFonts w:ascii="Times New Roman" w:hAnsi="Times New Roman"/>
          <w:sz w:val="24"/>
          <w:szCs w:val="24"/>
        </w:rPr>
        <w:t xml:space="preserve">incorporado </w:t>
      </w:r>
      <w:r w:rsidR="00C65DAD">
        <w:rPr>
          <w:rFonts w:ascii="Times New Roman" w:hAnsi="Times New Roman"/>
          <w:sz w:val="24"/>
          <w:szCs w:val="24"/>
        </w:rPr>
        <w:t>nos indivíduos</w:t>
      </w:r>
      <w:r w:rsidR="00284698">
        <w:rPr>
          <w:rFonts w:ascii="Times New Roman" w:hAnsi="Times New Roman"/>
          <w:sz w:val="24"/>
          <w:szCs w:val="24"/>
        </w:rPr>
        <w:t>, que só pode ser transmitido via contato face-a-face</w:t>
      </w:r>
      <w:r w:rsidR="00C65DAD">
        <w:rPr>
          <w:rFonts w:ascii="Times New Roman" w:hAnsi="Times New Roman"/>
          <w:sz w:val="24"/>
          <w:szCs w:val="24"/>
        </w:rPr>
        <w:t xml:space="preserve">. </w:t>
      </w:r>
      <w:r w:rsidR="00EC13CF">
        <w:rPr>
          <w:rFonts w:ascii="Times New Roman" w:hAnsi="Times New Roman"/>
          <w:sz w:val="24"/>
          <w:szCs w:val="24"/>
        </w:rPr>
        <w:t>Desse modo</w:t>
      </w:r>
      <w:r w:rsidR="008C7A7E">
        <w:rPr>
          <w:rFonts w:ascii="Times New Roman" w:hAnsi="Times New Roman"/>
          <w:sz w:val="24"/>
          <w:szCs w:val="24"/>
        </w:rPr>
        <w:t xml:space="preserve">, </w:t>
      </w:r>
      <w:r w:rsidR="006047B9">
        <w:rPr>
          <w:rFonts w:ascii="Times New Roman" w:hAnsi="Times New Roman"/>
          <w:sz w:val="24"/>
          <w:szCs w:val="24"/>
        </w:rPr>
        <w:t xml:space="preserve">pode-se utilizar </w:t>
      </w:r>
      <w:r w:rsidR="008C7A7E">
        <w:rPr>
          <w:rFonts w:ascii="Times New Roman" w:hAnsi="Times New Roman"/>
          <w:sz w:val="24"/>
          <w:szCs w:val="24"/>
        </w:rPr>
        <w:t xml:space="preserve">a mobilidade de mão de obra </w:t>
      </w:r>
      <w:r w:rsidR="006047B9">
        <w:rPr>
          <w:rFonts w:ascii="Times New Roman" w:hAnsi="Times New Roman"/>
          <w:sz w:val="24"/>
          <w:szCs w:val="24"/>
        </w:rPr>
        <w:t>como</w:t>
      </w:r>
      <w:r w:rsidR="00EC13CF">
        <w:rPr>
          <w:rFonts w:ascii="Times New Roman" w:hAnsi="Times New Roman"/>
          <w:sz w:val="24"/>
          <w:szCs w:val="24"/>
        </w:rPr>
        <w:t xml:space="preserve"> um meio de verificar o efeito da difusão espacial </w:t>
      </w:r>
      <w:r w:rsidR="00284698">
        <w:rPr>
          <w:rFonts w:ascii="Times New Roman" w:hAnsi="Times New Roman"/>
          <w:sz w:val="24"/>
          <w:szCs w:val="24"/>
        </w:rPr>
        <w:t xml:space="preserve">deste tipo de </w:t>
      </w:r>
      <w:r w:rsidR="00EC13CF">
        <w:rPr>
          <w:rFonts w:ascii="Times New Roman" w:hAnsi="Times New Roman"/>
          <w:sz w:val="24"/>
          <w:szCs w:val="24"/>
        </w:rPr>
        <w:t xml:space="preserve">conhecimento </w:t>
      </w:r>
      <w:r w:rsidR="008C7A7E">
        <w:rPr>
          <w:rFonts w:ascii="Times New Roman" w:hAnsi="Times New Roman"/>
          <w:sz w:val="24"/>
          <w:szCs w:val="24"/>
        </w:rPr>
        <w:t xml:space="preserve">(BOSCHMA </w:t>
      </w:r>
      <w:r w:rsidR="008C7A7E">
        <w:rPr>
          <w:rFonts w:ascii="Times New Roman" w:hAnsi="Times New Roman"/>
          <w:i/>
          <w:sz w:val="24"/>
          <w:szCs w:val="24"/>
        </w:rPr>
        <w:t>et al</w:t>
      </w:r>
      <w:r w:rsidR="00225030">
        <w:rPr>
          <w:rFonts w:ascii="Times New Roman" w:hAnsi="Times New Roman"/>
          <w:sz w:val="24"/>
          <w:szCs w:val="24"/>
        </w:rPr>
        <w:t>., 2014).</w:t>
      </w:r>
    </w:p>
    <w:p w14:paraId="2688CB1B" w14:textId="4923CE5D" w:rsidR="00797CDC" w:rsidRDefault="004E49B4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940B43">
        <w:rPr>
          <w:rFonts w:ascii="Times New Roman" w:hAnsi="Times New Roman"/>
          <w:sz w:val="24"/>
          <w:szCs w:val="24"/>
        </w:rPr>
        <w:t xml:space="preserve"> </w:t>
      </w:r>
      <w:r w:rsidR="00940B43" w:rsidRPr="00D9794A">
        <w:rPr>
          <w:rFonts w:ascii="Times New Roman" w:hAnsi="Times New Roman"/>
          <w:sz w:val="24"/>
          <w:szCs w:val="24"/>
        </w:rPr>
        <w:t xml:space="preserve">mobilidade </w:t>
      </w:r>
      <w:r w:rsidR="008E0F22">
        <w:rPr>
          <w:rFonts w:ascii="Times New Roman" w:hAnsi="Times New Roman"/>
          <w:sz w:val="24"/>
          <w:szCs w:val="24"/>
        </w:rPr>
        <w:t xml:space="preserve">de trabalhadores </w:t>
      </w:r>
      <w:r w:rsidR="00790A87">
        <w:rPr>
          <w:rFonts w:ascii="Times New Roman" w:hAnsi="Times New Roman"/>
          <w:sz w:val="24"/>
          <w:szCs w:val="24"/>
        </w:rPr>
        <w:t>é um dos principais canais</w:t>
      </w:r>
      <w:r w:rsidR="00940B43">
        <w:rPr>
          <w:rFonts w:ascii="Times New Roman" w:hAnsi="Times New Roman"/>
          <w:sz w:val="24"/>
          <w:szCs w:val="24"/>
        </w:rPr>
        <w:t xml:space="preserve"> de difusão de conhecimento tecnológico, pois </w:t>
      </w:r>
      <w:r w:rsidR="00940B43" w:rsidRPr="00D9794A">
        <w:rPr>
          <w:rFonts w:ascii="Times New Roman" w:hAnsi="Times New Roman"/>
          <w:sz w:val="24"/>
          <w:szCs w:val="24"/>
        </w:rPr>
        <w:t>é um veículo conhecido de transbordamento de conhecimento na literatura de inovação (LUCAS, 19</w:t>
      </w:r>
      <w:r w:rsidR="009B4E22">
        <w:rPr>
          <w:rFonts w:ascii="Times New Roman" w:hAnsi="Times New Roman"/>
          <w:sz w:val="24"/>
          <w:szCs w:val="24"/>
        </w:rPr>
        <w:t>8</w:t>
      </w:r>
      <w:r w:rsidR="00940B43" w:rsidRPr="00D9794A">
        <w:rPr>
          <w:rFonts w:ascii="Times New Roman" w:hAnsi="Times New Roman"/>
          <w:sz w:val="24"/>
          <w:szCs w:val="24"/>
        </w:rPr>
        <w:t xml:space="preserve">8; BOSCHMA </w:t>
      </w:r>
      <w:r w:rsidR="00940B43" w:rsidRPr="00D9794A">
        <w:rPr>
          <w:rFonts w:ascii="Times New Roman" w:hAnsi="Times New Roman"/>
          <w:i/>
          <w:sz w:val="24"/>
          <w:szCs w:val="24"/>
        </w:rPr>
        <w:t xml:space="preserve">et </w:t>
      </w:r>
      <w:r w:rsidR="00940B43" w:rsidRPr="00DD1EB6">
        <w:rPr>
          <w:rFonts w:ascii="Times New Roman" w:hAnsi="Times New Roman"/>
          <w:i/>
          <w:sz w:val="24"/>
          <w:szCs w:val="24"/>
        </w:rPr>
        <w:t>al</w:t>
      </w:r>
      <w:r w:rsidR="00940B43" w:rsidRPr="00D9794A">
        <w:rPr>
          <w:rFonts w:ascii="Times New Roman" w:hAnsi="Times New Roman"/>
          <w:sz w:val="24"/>
          <w:szCs w:val="24"/>
        </w:rPr>
        <w:t>.,</w:t>
      </w:r>
      <w:r w:rsidR="009B4E22">
        <w:rPr>
          <w:rFonts w:ascii="Times New Roman" w:hAnsi="Times New Roman"/>
          <w:sz w:val="24"/>
          <w:szCs w:val="24"/>
        </w:rPr>
        <w:t xml:space="preserve"> </w:t>
      </w:r>
      <w:r w:rsidR="00940B43" w:rsidRPr="00D9794A">
        <w:rPr>
          <w:rFonts w:ascii="Times New Roman" w:hAnsi="Times New Roman"/>
          <w:sz w:val="24"/>
          <w:szCs w:val="24"/>
        </w:rPr>
        <w:t xml:space="preserve">2009; FAGGIAN e MCCANN, 2009). </w:t>
      </w:r>
      <w:r w:rsidR="006047B9">
        <w:rPr>
          <w:rFonts w:ascii="Times New Roman" w:hAnsi="Times New Roman"/>
          <w:sz w:val="24"/>
          <w:szCs w:val="24"/>
        </w:rPr>
        <w:t>Enquanto g</w:t>
      </w:r>
      <w:r w:rsidR="004D02B5" w:rsidRPr="00D9794A">
        <w:rPr>
          <w:rFonts w:ascii="Times New Roman" w:hAnsi="Times New Roman"/>
          <w:sz w:val="24"/>
          <w:szCs w:val="24"/>
        </w:rPr>
        <w:t xml:space="preserve">rande parte dos trabalhos que abordam a temática </w:t>
      </w:r>
      <w:r w:rsidR="00CD6A62">
        <w:rPr>
          <w:rFonts w:ascii="Times New Roman" w:hAnsi="Times New Roman"/>
          <w:sz w:val="24"/>
          <w:szCs w:val="24"/>
        </w:rPr>
        <w:t>prioriza a</w:t>
      </w:r>
      <w:r w:rsidR="00940B43" w:rsidRPr="00D9794A">
        <w:rPr>
          <w:rFonts w:ascii="Times New Roman" w:hAnsi="Times New Roman"/>
          <w:sz w:val="24"/>
          <w:szCs w:val="24"/>
        </w:rPr>
        <w:t xml:space="preserve"> explica</w:t>
      </w:r>
      <w:r w:rsidR="00CD6A62">
        <w:rPr>
          <w:rFonts w:ascii="Times New Roman" w:hAnsi="Times New Roman"/>
          <w:sz w:val="24"/>
          <w:szCs w:val="24"/>
        </w:rPr>
        <w:t>ção</w:t>
      </w:r>
      <w:r w:rsidR="00940B43" w:rsidRPr="00D9794A">
        <w:rPr>
          <w:rFonts w:ascii="Times New Roman" w:hAnsi="Times New Roman"/>
          <w:sz w:val="24"/>
          <w:szCs w:val="24"/>
        </w:rPr>
        <w:t xml:space="preserve"> </w:t>
      </w:r>
      <w:r w:rsidR="00CD6A62">
        <w:rPr>
          <w:rFonts w:ascii="Times New Roman" w:hAnsi="Times New Roman"/>
          <w:sz w:val="24"/>
          <w:szCs w:val="24"/>
        </w:rPr>
        <w:t>d</w:t>
      </w:r>
      <w:r w:rsidR="00940B43" w:rsidRPr="00D9794A">
        <w:rPr>
          <w:rFonts w:ascii="Times New Roman" w:hAnsi="Times New Roman"/>
          <w:sz w:val="24"/>
          <w:szCs w:val="24"/>
        </w:rPr>
        <w:t>esse fenômeno, buscando os determinantes da migração</w:t>
      </w:r>
      <w:r w:rsidR="006047B9">
        <w:rPr>
          <w:rFonts w:ascii="Times New Roman" w:hAnsi="Times New Roman"/>
          <w:sz w:val="24"/>
          <w:szCs w:val="24"/>
        </w:rPr>
        <w:t>, e</w:t>
      </w:r>
      <w:r w:rsidR="00940B43">
        <w:rPr>
          <w:rFonts w:ascii="Times New Roman" w:hAnsi="Times New Roman"/>
          <w:sz w:val="24"/>
          <w:szCs w:val="24"/>
        </w:rPr>
        <w:t xml:space="preserve">sse </w:t>
      </w:r>
      <w:r w:rsidR="008E0F22">
        <w:rPr>
          <w:rFonts w:ascii="Times New Roman" w:hAnsi="Times New Roman"/>
          <w:sz w:val="24"/>
          <w:szCs w:val="24"/>
        </w:rPr>
        <w:t xml:space="preserve">estudo </w:t>
      </w:r>
      <w:r w:rsidR="00940B43">
        <w:rPr>
          <w:rFonts w:ascii="Times New Roman" w:hAnsi="Times New Roman"/>
          <w:sz w:val="24"/>
          <w:szCs w:val="24"/>
        </w:rPr>
        <w:t xml:space="preserve">dará enfoque </w:t>
      </w:r>
      <w:r>
        <w:rPr>
          <w:rFonts w:ascii="Times New Roman" w:hAnsi="Times New Roman"/>
          <w:sz w:val="24"/>
          <w:szCs w:val="24"/>
        </w:rPr>
        <w:t>n</w:t>
      </w:r>
      <w:r w:rsidR="00940B43" w:rsidRPr="00D9794A">
        <w:rPr>
          <w:rFonts w:ascii="Times New Roman" w:hAnsi="Times New Roman"/>
          <w:sz w:val="24"/>
          <w:szCs w:val="24"/>
        </w:rPr>
        <w:t xml:space="preserve">os impactos que a mobilidade de trabalhadores qualificados tem sobre o crescimento regional. </w:t>
      </w:r>
    </w:p>
    <w:p w14:paraId="68E49150" w14:textId="49D0B6FC" w:rsidR="0007214F" w:rsidRDefault="0007214F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mobilidade de mão de obra é considerada um fator importante para o crescimento regional </w:t>
      </w:r>
      <w:r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., </w:t>
      </w:r>
      <w:r w:rsidR="00CD6A62">
        <w:rPr>
          <w:rFonts w:ascii="Times New Roman" w:hAnsi="Times New Roman"/>
          <w:sz w:val="24"/>
          <w:szCs w:val="24"/>
        </w:rPr>
        <w:t xml:space="preserve">Vale </w:t>
      </w:r>
      <w:r>
        <w:rPr>
          <w:rFonts w:ascii="Times New Roman" w:hAnsi="Times New Roman"/>
          <w:sz w:val="24"/>
          <w:szCs w:val="24"/>
        </w:rPr>
        <w:t xml:space="preserve">do </w:t>
      </w:r>
      <w:r w:rsidR="00CD6A6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ilício, (SAXENIAN, 1994</w:t>
      </w:r>
      <w:r w:rsidR="00CD6A62">
        <w:rPr>
          <w:rFonts w:ascii="Times New Roman" w:hAnsi="Times New Roman"/>
          <w:sz w:val="24"/>
          <w:szCs w:val="24"/>
        </w:rPr>
        <w:t>). T</w:t>
      </w:r>
      <w:r>
        <w:rPr>
          <w:rFonts w:ascii="Times New Roman" w:hAnsi="Times New Roman"/>
          <w:sz w:val="24"/>
          <w:szCs w:val="24"/>
        </w:rPr>
        <w:t>rabalhos recentes analisam a mobilidade de mão de obra em setores relacionados</w:t>
      </w:r>
      <w:r w:rsidR="00CD6A62">
        <w:rPr>
          <w:rFonts w:ascii="Times New Roman" w:hAnsi="Times New Roman"/>
          <w:sz w:val="24"/>
          <w:szCs w:val="24"/>
        </w:rPr>
        <w:t xml:space="preserve"> </w:t>
      </w:r>
      <w:r w:rsidR="00CD6A62" w:rsidRPr="00CD6A62">
        <w:rPr>
          <w:rFonts w:ascii="Times New Roman" w:hAnsi="Times New Roman"/>
          <w:sz w:val="24"/>
          <w:szCs w:val="24"/>
        </w:rPr>
        <w:t xml:space="preserve">(BOSCHMA </w:t>
      </w:r>
      <w:r w:rsidR="00CD6A62" w:rsidRPr="00CD6A62">
        <w:rPr>
          <w:rFonts w:ascii="Times New Roman" w:hAnsi="Times New Roman"/>
          <w:i/>
          <w:sz w:val="24"/>
          <w:szCs w:val="24"/>
        </w:rPr>
        <w:t>et al</w:t>
      </w:r>
      <w:r w:rsidR="00CD6A62" w:rsidRPr="00CD6A62">
        <w:rPr>
          <w:rFonts w:ascii="Times New Roman" w:hAnsi="Times New Roman"/>
          <w:sz w:val="24"/>
          <w:szCs w:val="24"/>
        </w:rPr>
        <w:t xml:space="preserve">., 2009, BOSCHMA </w:t>
      </w:r>
      <w:r w:rsidR="00CD6A62" w:rsidRPr="00CD6A62">
        <w:rPr>
          <w:rFonts w:ascii="Times New Roman" w:hAnsi="Times New Roman"/>
          <w:i/>
          <w:sz w:val="24"/>
          <w:szCs w:val="24"/>
        </w:rPr>
        <w:t>et al</w:t>
      </w:r>
      <w:r w:rsidR="00CD6A62" w:rsidRPr="00CD6A62">
        <w:rPr>
          <w:rFonts w:ascii="Times New Roman" w:hAnsi="Times New Roman"/>
          <w:sz w:val="24"/>
          <w:szCs w:val="24"/>
        </w:rPr>
        <w:t xml:space="preserve">., 2014, SIMONEM </w:t>
      </w:r>
      <w:r w:rsidR="00CD6A62" w:rsidRPr="00CD6A62">
        <w:rPr>
          <w:rFonts w:ascii="Times New Roman" w:hAnsi="Times New Roman"/>
          <w:i/>
          <w:sz w:val="24"/>
          <w:szCs w:val="24"/>
        </w:rPr>
        <w:t>et al</w:t>
      </w:r>
      <w:r w:rsidR="00CD6A62" w:rsidRPr="00CD6A62">
        <w:rPr>
          <w:rFonts w:ascii="Times New Roman" w:hAnsi="Times New Roman"/>
          <w:sz w:val="24"/>
          <w:szCs w:val="24"/>
        </w:rPr>
        <w:t>., 2016)</w:t>
      </w:r>
      <w:r w:rsidR="008E0F22">
        <w:rPr>
          <w:rFonts w:ascii="Times New Roman" w:hAnsi="Times New Roman"/>
          <w:sz w:val="24"/>
          <w:szCs w:val="24"/>
        </w:rPr>
        <w:t>, uma vez que</w:t>
      </w:r>
      <w:r>
        <w:rPr>
          <w:rFonts w:ascii="Times New Roman" w:hAnsi="Times New Roman"/>
          <w:sz w:val="24"/>
          <w:szCs w:val="24"/>
        </w:rPr>
        <w:t xml:space="preserve"> </w:t>
      </w:r>
      <w:r w:rsidR="008E0F22">
        <w:rPr>
          <w:rFonts w:ascii="Times New Roman" w:hAnsi="Times New Roman"/>
          <w:sz w:val="24"/>
          <w:szCs w:val="24"/>
        </w:rPr>
        <w:t xml:space="preserve">esta análise permite mensurar o tipo de conhecimento transmitido com a migração e seus impactos (BOSCHMA </w:t>
      </w:r>
      <w:r w:rsidR="008E0F22">
        <w:rPr>
          <w:rFonts w:ascii="Times New Roman" w:hAnsi="Times New Roman"/>
          <w:i/>
          <w:sz w:val="24"/>
          <w:szCs w:val="24"/>
        </w:rPr>
        <w:t>et al</w:t>
      </w:r>
      <w:r w:rsidR="008E0F22">
        <w:rPr>
          <w:rFonts w:ascii="Times New Roman" w:hAnsi="Times New Roman"/>
          <w:sz w:val="24"/>
          <w:szCs w:val="24"/>
        </w:rPr>
        <w:t xml:space="preserve">. 2009). </w:t>
      </w:r>
      <w:r>
        <w:rPr>
          <w:rFonts w:ascii="Times New Roman" w:hAnsi="Times New Roman"/>
          <w:sz w:val="24"/>
          <w:szCs w:val="24"/>
        </w:rPr>
        <w:t xml:space="preserve">De acordo com esses autores, a mobilidade de indivíduos </w:t>
      </w:r>
      <w:r w:rsidR="008E0F22">
        <w:rPr>
          <w:rFonts w:ascii="Times New Roman" w:hAnsi="Times New Roman"/>
          <w:sz w:val="24"/>
          <w:szCs w:val="24"/>
        </w:rPr>
        <w:t>dentro do mesmo setor</w:t>
      </w:r>
      <w:r>
        <w:rPr>
          <w:rFonts w:ascii="Times New Roman" w:hAnsi="Times New Roman"/>
          <w:sz w:val="24"/>
          <w:szCs w:val="24"/>
        </w:rPr>
        <w:t xml:space="preserve"> ou </w:t>
      </w:r>
      <w:r w:rsidR="008E0F22">
        <w:rPr>
          <w:rFonts w:ascii="Times New Roman" w:hAnsi="Times New Roman"/>
          <w:sz w:val="24"/>
          <w:szCs w:val="24"/>
        </w:rPr>
        <w:t xml:space="preserve">entre </w:t>
      </w:r>
      <w:r>
        <w:rPr>
          <w:rFonts w:ascii="Times New Roman" w:hAnsi="Times New Roman"/>
          <w:sz w:val="24"/>
          <w:szCs w:val="24"/>
        </w:rPr>
        <w:t>setores relacionados gera externalidade positiva</w:t>
      </w:r>
      <w:r w:rsidR="00E8597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aumentando a produtividade das firmas (</w:t>
      </w:r>
      <w:r w:rsidRPr="00A03F9C">
        <w:rPr>
          <w:rFonts w:ascii="Times New Roman" w:hAnsi="Times New Roman"/>
          <w:sz w:val="24"/>
          <w:szCs w:val="24"/>
        </w:rPr>
        <w:t>BOSCHMA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 xml:space="preserve">. (2009) e gerando crescimento regional (FRENKEN </w:t>
      </w:r>
      <w:r>
        <w:rPr>
          <w:rFonts w:ascii="Times New Roman" w:hAnsi="Times New Roman"/>
          <w:i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 xml:space="preserve">. 2007, BOSCHMA </w:t>
      </w:r>
      <w:r>
        <w:rPr>
          <w:rFonts w:ascii="Times New Roman" w:hAnsi="Times New Roman"/>
          <w:i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 xml:space="preserve">. (2014). </w:t>
      </w:r>
    </w:p>
    <w:p w14:paraId="23A7A758" w14:textId="49F91818" w:rsidR="00797CE2" w:rsidRDefault="006012CC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Uma </w:t>
      </w:r>
      <w:r w:rsidR="00B63BF3">
        <w:rPr>
          <w:rFonts w:ascii="Times New Roman" w:hAnsi="Times New Roman"/>
          <w:sz w:val="24"/>
          <w:szCs w:val="24"/>
        </w:rPr>
        <w:t xml:space="preserve">das </w:t>
      </w:r>
      <w:r>
        <w:rPr>
          <w:rFonts w:ascii="Times New Roman" w:hAnsi="Times New Roman"/>
          <w:sz w:val="24"/>
          <w:szCs w:val="24"/>
        </w:rPr>
        <w:t xml:space="preserve">formas de dimensionar como os fluxos de mão de obra influenciam o crescimento regional é por meio </w:t>
      </w:r>
      <w:r w:rsidR="00300FF6">
        <w:rPr>
          <w:rFonts w:ascii="Times New Roman" w:hAnsi="Times New Roman"/>
          <w:sz w:val="24"/>
          <w:szCs w:val="24"/>
        </w:rPr>
        <w:t xml:space="preserve">dos </w:t>
      </w:r>
      <w:r>
        <w:rPr>
          <w:rFonts w:ascii="Times New Roman" w:hAnsi="Times New Roman"/>
          <w:sz w:val="24"/>
          <w:szCs w:val="24"/>
        </w:rPr>
        <w:t>graus de variedade relacionada e variedade não relacionada.</w:t>
      </w:r>
      <w:r w:rsidR="002F0F34">
        <w:rPr>
          <w:rFonts w:ascii="Times New Roman" w:hAnsi="Times New Roman"/>
          <w:sz w:val="24"/>
          <w:szCs w:val="24"/>
        </w:rPr>
        <w:t xml:space="preserve"> Variedade relacionada ocorre quando existe um compartilhamento de conhecimento complementar entre os agentes</w:t>
      </w:r>
      <w:r w:rsidR="00284698">
        <w:rPr>
          <w:rFonts w:ascii="Times New Roman" w:hAnsi="Times New Roman"/>
          <w:sz w:val="24"/>
          <w:szCs w:val="24"/>
        </w:rPr>
        <w:t xml:space="preserve">. Neste caso, </w:t>
      </w:r>
      <w:r w:rsidR="00300FF6">
        <w:rPr>
          <w:rFonts w:ascii="Times New Roman" w:hAnsi="Times New Roman"/>
          <w:sz w:val="24"/>
          <w:szCs w:val="24"/>
        </w:rPr>
        <w:t>apesar d</w:t>
      </w:r>
      <w:r w:rsidR="00797CDC">
        <w:rPr>
          <w:rFonts w:ascii="Times New Roman" w:hAnsi="Times New Roman"/>
          <w:sz w:val="24"/>
          <w:szCs w:val="24"/>
        </w:rPr>
        <w:t xml:space="preserve">e </w:t>
      </w:r>
      <w:r w:rsidR="00300FF6">
        <w:rPr>
          <w:rFonts w:ascii="Times New Roman" w:hAnsi="Times New Roman"/>
          <w:sz w:val="24"/>
          <w:szCs w:val="24"/>
        </w:rPr>
        <w:t xml:space="preserve">esse </w:t>
      </w:r>
      <w:r w:rsidR="002F0F34">
        <w:rPr>
          <w:rFonts w:ascii="Times New Roman" w:hAnsi="Times New Roman"/>
          <w:sz w:val="24"/>
          <w:szCs w:val="24"/>
        </w:rPr>
        <w:t xml:space="preserve">conhecimento não </w:t>
      </w:r>
      <w:r w:rsidR="00300FF6">
        <w:rPr>
          <w:rFonts w:ascii="Times New Roman" w:hAnsi="Times New Roman"/>
          <w:sz w:val="24"/>
          <w:szCs w:val="24"/>
        </w:rPr>
        <w:t xml:space="preserve">ser </w:t>
      </w:r>
      <w:r w:rsidR="002F0F34">
        <w:rPr>
          <w:rFonts w:ascii="Times New Roman" w:hAnsi="Times New Roman"/>
          <w:sz w:val="24"/>
          <w:szCs w:val="24"/>
        </w:rPr>
        <w:t>o mesmo, devido à proximidade cognitiva</w:t>
      </w:r>
      <w:r w:rsidR="00CD6A62">
        <w:rPr>
          <w:rFonts w:ascii="Times New Roman" w:hAnsi="Times New Roman"/>
          <w:sz w:val="24"/>
          <w:szCs w:val="24"/>
        </w:rPr>
        <w:t>,</w:t>
      </w:r>
      <w:r w:rsidR="002F0F34">
        <w:rPr>
          <w:rFonts w:ascii="Times New Roman" w:hAnsi="Times New Roman"/>
          <w:sz w:val="24"/>
          <w:szCs w:val="24"/>
        </w:rPr>
        <w:t xml:space="preserve"> ele consegue ser absorvido de forma mais precisa (FREKEN </w:t>
      </w:r>
      <w:r w:rsidR="002F0F34">
        <w:rPr>
          <w:rFonts w:ascii="Times New Roman" w:hAnsi="Times New Roman"/>
          <w:i/>
          <w:sz w:val="24"/>
          <w:szCs w:val="24"/>
        </w:rPr>
        <w:t>et al</w:t>
      </w:r>
      <w:r w:rsidR="002F0F34">
        <w:rPr>
          <w:rFonts w:ascii="Times New Roman" w:hAnsi="Times New Roman"/>
          <w:sz w:val="24"/>
          <w:szCs w:val="24"/>
        </w:rPr>
        <w:t xml:space="preserve">., 2007; BOSCHMA e IAMMARINO, 2009). </w:t>
      </w:r>
      <w:r w:rsidR="00867CB0">
        <w:rPr>
          <w:rFonts w:ascii="Times New Roman" w:hAnsi="Times New Roman"/>
          <w:sz w:val="24"/>
          <w:szCs w:val="24"/>
        </w:rPr>
        <w:t xml:space="preserve">Já </w:t>
      </w:r>
      <w:r w:rsidR="008E0F22">
        <w:rPr>
          <w:rFonts w:ascii="Times New Roman" w:hAnsi="Times New Roman"/>
          <w:sz w:val="24"/>
          <w:szCs w:val="24"/>
        </w:rPr>
        <w:t xml:space="preserve">a </w:t>
      </w:r>
      <w:r w:rsidR="00867CB0">
        <w:rPr>
          <w:rFonts w:ascii="Times New Roman" w:hAnsi="Times New Roman"/>
          <w:sz w:val="24"/>
          <w:szCs w:val="24"/>
        </w:rPr>
        <w:t>variedade não relacionada</w:t>
      </w:r>
      <w:r w:rsidR="008E0F22">
        <w:rPr>
          <w:rFonts w:ascii="Times New Roman" w:hAnsi="Times New Roman"/>
          <w:sz w:val="24"/>
          <w:szCs w:val="24"/>
        </w:rPr>
        <w:t>,</w:t>
      </w:r>
      <w:r w:rsidR="00867CB0">
        <w:rPr>
          <w:rFonts w:ascii="Times New Roman" w:hAnsi="Times New Roman"/>
          <w:sz w:val="24"/>
          <w:szCs w:val="24"/>
        </w:rPr>
        <w:t xml:space="preserve"> ocorre quando não existe complementaridade do conhecimento compartilhado, </w:t>
      </w:r>
      <w:r w:rsidR="00300FF6">
        <w:rPr>
          <w:rFonts w:ascii="Times New Roman" w:hAnsi="Times New Roman"/>
          <w:sz w:val="24"/>
          <w:szCs w:val="24"/>
        </w:rPr>
        <w:t xml:space="preserve">o que </w:t>
      </w:r>
      <w:r w:rsidR="00DB25EC">
        <w:rPr>
          <w:rFonts w:ascii="Times New Roman" w:hAnsi="Times New Roman"/>
          <w:sz w:val="24"/>
          <w:szCs w:val="24"/>
        </w:rPr>
        <w:t>torna difícil</w:t>
      </w:r>
      <w:r w:rsidR="00867CB0">
        <w:rPr>
          <w:rFonts w:ascii="Times New Roman" w:hAnsi="Times New Roman"/>
          <w:sz w:val="24"/>
          <w:szCs w:val="24"/>
        </w:rPr>
        <w:t xml:space="preserve"> sua assimilação </w:t>
      </w:r>
      <w:r w:rsidR="00300FF6">
        <w:rPr>
          <w:rFonts w:ascii="Times New Roman" w:hAnsi="Times New Roman"/>
          <w:sz w:val="24"/>
          <w:szCs w:val="24"/>
        </w:rPr>
        <w:t xml:space="preserve">entre os agentes </w:t>
      </w:r>
      <w:r w:rsidR="00867CB0">
        <w:rPr>
          <w:rFonts w:ascii="Times New Roman" w:hAnsi="Times New Roman"/>
          <w:sz w:val="24"/>
          <w:szCs w:val="24"/>
        </w:rPr>
        <w:t xml:space="preserve">(FREKEN </w:t>
      </w:r>
      <w:r w:rsidR="00867CB0">
        <w:rPr>
          <w:rFonts w:ascii="Times New Roman" w:hAnsi="Times New Roman"/>
          <w:i/>
          <w:sz w:val="24"/>
          <w:szCs w:val="24"/>
        </w:rPr>
        <w:t>et al</w:t>
      </w:r>
      <w:r w:rsidR="00867CB0">
        <w:rPr>
          <w:rFonts w:ascii="Times New Roman" w:hAnsi="Times New Roman"/>
          <w:sz w:val="24"/>
          <w:szCs w:val="24"/>
        </w:rPr>
        <w:t>., 2007; BOSCHMA e IAMMARINO, 2009</w:t>
      </w:r>
      <w:r w:rsidR="00797CE2">
        <w:rPr>
          <w:rFonts w:ascii="Times New Roman" w:hAnsi="Times New Roman"/>
          <w:sz w:val="24"/>
          <w:szCs w:val="24"/>
        </w:rPr>
        <w:t>).</w:t>
      </w:r>
    </w:p>
    <w:p w14:paraId="71CBA96A" w14:textId="66BEF495" w:rsidR="007C4830" w:rsidRPr="00D9794A" w:rsidRDefault="00797CE2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Inicialmente</w:t>
      </w:r>
      <w:r w:rsidR="006012CC">
        <w:rPr>
          <w:rFonts w:ascii="Times New Roman" w:hAnsi="Times New Roman"/>
          <w:sz w:val="24"/>
          <w:szCs w:val="24"/>
        </w:rPr>
        <w:t>, esses conceitos</w:t>
      </w:r>
      <w:r w:rsidR="00A042D2">
        <w:rPr>
          <w:rFonts w:ascii="Times New Roman" w:hAnsi="Times New Roman"/>
          <w:sz w:val="24"/>
          <w:szCs w:val="24"/>
        </w:rPr>
        <w:t>,</w:t>
      </w:r>
      <w:r w:rsidR="006012CC">
        <w:rPr>
          <w:rFonts w:ascii="Times New Roman" w:hAnsi="Times New Roman"/>
          <w:sz w:val="24"/>
          <w:szCs w:val="24"/>
        </w:rPr>
        <w:t xml:space="preserve"> desenvolvidos por </w:t>
      </w:r>
      <w:proofErr w:type="spellStart"/>
      <w:r w:rsidR="006012CC">
        <w:rPr>
          <w:rFonts w:ascii="Times New Roman" w:hAnsi="Times New Roman"/>
          <w:sz w:val="24"/>
          <w:szCs w:val="24"/>
        </w:rPr>
        <w:t>Frenken</w:t>
      </w:r>
      <w:proofErr w:type="spellEnd"/>
      <w:r w:rsidR="006012CC">
        <w:rPr>
          <w:rFonts w:ascii="Times New Roman" w:hAnsi="Times New Roman"/>
          <w:sz w:val="24"/>
          <w:szCs w:val="24"/>
        </w:rPr>
        <w:t xml:space="preserve"> </w:t>
      </w:r>
      <w:r w:rsidR="006012CC">
        <w:rPr>
          <w:rFonts w:ascii="Times New Roman" w:hAnsi="Times New Roman"/>
          <w:i/>
          <w:sz w:val="24"/>
          <w:szCs w:val="24"/>
        </w:rPr>
        <w:t>et al</w:t>
      </w:r>
      <w:r w:rsidR="006012CC">
        <w:rPr>
          <w:rFonts w:ascii="Times New Roman" w:hAnsi="Times New Roman"/>
          <w:sz w:val="24"/>
          <w:szCs w:val="24"/>
        </w:rPr>
        <w:t>. (2007), foram utilizados para captar como a composição setorial de determinada região impacta o seu crescimento.</w:t>
      </w:r>
      <w:r w:rsidR="007C4830">
        <w:rPr>
          <w:rFonts w:ascii="Times New Roman" w:hAnsi="Times New Roman"/>
          <w:sz w:val="24"/>
          <w:szCs w:val="24"/>
        </w:rPr>
        <w:t xml:space="preserve"> </w:t>
      </w:r>
      <w:r w:rsidR="00300FF6">
        <w:rPr>
          <w:rFonts w:ascii="Times New Roman" w:hAnsi="Times New Roman"/>
          <w:sz w:val="24"/>
          <w:szCs w:val="24"/>
        </w:rPr>
        <w:t>Contudo, t</w:t>
      </w:r>
      <w:r w:rsidR="007C4830">
        <w:rPr>
          <w:rFonts w:ascii="Times New Roman" w:hAnsi="Times New Roman"/>
          <w:sz w:val="24"/>
          <w:szCs w:val="24"/>
        </w:rPr>
        <w:t xml:space="preserve">rabalhos como </w:t>
      </w:r>
      <w:proofErr w:type="spellStart"/>
      <w:r w:rsidR="007C4830" w:rsidRPr="00D9794A">
        <w:rPr>
          <w:rFonts w:ascii="Times New Roman" w:hAnsi="Times New Roman"/>
          <w:sz w:val="24"/>
          <w:szCs w:val="24"/>
        </w:rPr>
        <w:t>Boschma</w:t>
      </w:r>
      <w:proofErr w:type="spellEnd"/>
      <w:r w:rsidR="007C4830" w:rsidRPr="00D9794A">
        <w:rPr>
          <w:rFonts w:ascii="Times New Roman" w:hAnsi="Times New Roman"/>
          <w:sz w:val="24"/>
          <w:szCs w:val="24"/>
        </w:rPr>
        <w:t xml:space="preserve"> </w:t>
      </w:r>
      <w:r w:rsidR="007C4830" w:rsidRPr="00D9794A">
        <w:rPr>
          <w:rFonts w:ascii="Times New Roman" w:hAnsi="Times New Roman"/>
          <w:i/>
          <w:sz w:val="24"/>
          <w:szCs w:val="24"/>
        </w:rPr>
        <w:t>et al</w:t>
      </w:r>
      <w:r w:rsidR="007C4830" w:rsidRPr="00D9794A">
        <w:rPr>
          <w:rFonts w:ascii="Times New Roman" w:hAnsi="Times New Roman"/>
          <w:sz w:val="24"/>
          <w:szCs w:val="24"/>
        </w:rPr>
        <w:t>. (2009</w:t>
      </w:r>
      <w:r w:rsidR="007C4830">
        <w:rPr>
          <w:rFonts w:ascii="Times New Roman" w:hAnsi="Times New Roman"/>
          <w:sz w:val="24"/>
          <w:szCs w:val="24"/>
        </w:rPr>
        <w:t>,</w:t>
      </w:r>
      <w:r w:rsidR="007C4830" w:rsidRPr="00D9794A">
        <w:rPr>
          <w:rFonts w:ascii="Times New Roman" w:hAnsi="Times New Roman"/>
          <w:sz w:val="24"/>
          <w:szCs w:val="24"/>
        </w:rPr>
        <w:t xml:space="preserve">2014) </w:t>
      </w:r>
      <w:r w:rsidR="008E0F22">
        <w:rPr>
          <w:rFonts w:ascii="Times New Roman" w:hAnsi="Times New Roman"/>
          <w:sz w:val="24"/>
          <w:szCs w:val="24"/>
        </w:rPr>
        <w:t xml:space="preserve">os </w:t>
      </w:r>
      <w:r w:rsidR="007C4830" w:rsidRPr="00D9794A">
        <w:rPr>
          <w:rFonts w:ascii="Times New Roman" w:hAnsi="Times New Roman"/>
          <w:sz w:val="24"/>
          <w:szCs w:val="24"/>
        </w:rPr>
        <w:t>utilizaram com</w:t>
      </w:r>
      <w:r w:rsidR="007C4830">
        <w:rPr>
          <w:rFonts w:ascii="Times New Roman" w:hAnsi="Times New Roman"/>
          <w:sz w:val="24"/>
          <w:szCs w:val="24"/>
        </w:rPr>
        <w:t xml:space="preserve"> </w:t>
      </w:r>
      <w:r w:rsidR="007C4830">
        <w:rPr>
          <w:rFonts w:ascii="Times New Roman" w:hAnsi="Times New Roman"/>
          <w:sz w:val="24"/>
          <w:szCs w:val="24"/>
        </w:rPr>
        <w:lastRenderedPageBreak/>
        <w:t xml:space="preserve">enfoque </w:t>
      </w:r>
      <w:r w:rsidR="00300FF6">
        <w:rPr>
          <w:rFonts w:ascii="Times New Roman" w:hAnsi="Times New Roman"/>
          <w:sz w:val="24"/>
          <w:szCs w:val="24"/>
        </w:rPr>
        <w:t>n</w:t>
      </w:r>
      <w:r w:rsidR="007C4830" w:rsidRPr="00D9794A">
        <w:rPr>
          <w:rFonts w:ascii="Times New Roman" w:hAnsi="Times New Roman"/>
          <w:sz w:val="24"/>
          <w:szCs w:val="24"/>
        </w:rPr>
        <w:t>os fluxos de mão de obra</w:t>
      </w:r>
      <w:r w:rsidR="007C4830">
        <w:rPr>
          <w:rFonts w:ascii="Times New Roman" w:hAnsi="Times New Roman"/>
          <w:sz w:val="24"/>
          <w:szCs w:val="24"/>
        </w:rPr>
        <w:t>,</w:t>
      </w:r>
      <w:r w:rsidR="007C4830" w:rsidRPr="00D9794A">
        <w:rPr>
          <w:rFonts w:ascii="Times New Roman" w:hAnsi="Times New Roman"/>
          <w:sz w:val="24"/>
          <w:szCs w:val="24"/>
        </w:rPr>
        <w:t xml:space="preserve"> a fim de mensurar como a mobilidade de </w:t>
      </w:r>
      <w:r w:rsidR="007C4830">
        <w:rPr>
          <w:rFonts w:ascii="Times New Roman" w:hAnsi="Times New Roman"/>
          <w:sz w:val="24"/>
          <w:szCs w:val="24"/>
        </w:rPr>
        <w:t>indivíduos</w:t>
      </w:r>
      <w:r w:rsidR="007C4830" w:rsidRPr="00D9794A">
        <w:rPr>
          <w:rFonts w:ascii="Times New Roman" w:hAnsi="Times New Roman"/>
          <w:sz w:val="24"/>
          <w:szCs w:val="24"/>
        </w:rPr>
        <w:t>, definida como externalidades d</w:t>
      </w:r>
      <w:r w:rsidR="008E0F22">
        <w:rPr>
          <w:rFonts w:ascii="Times New Roman" w:hAnsi="Times New Roman"/>
          <w:sz w:val="24"/>
          <w:szCs w:val="24"/>
        </w:rPr>
        <w:t xml:space="preserve">o </w:t>
      </w:r>
      <w:r w:rsidR="007C4830" w:rsidRPr="00D9794A">
        <w:rPr>
          <w:rFonts w:ascii="Times New Roman" w:hAnsi="Times New Roman"/>
          <w:sz w:val="24"/>
          <w:szCs w:val="24"/>
        </w:rPr>
        <w:t xml:space="preserve">mercado de trabalho, impacta o crescimento </w:t>
      </w:r>
      <w:r w:rsidR="007C4830">
        <w:rPr>
          <w:rFonts w:ascii="Times New Roman" w:hAnsi="Times New Roman"/>
          <w:sz w:val="24"/>
          <w:szCs w:val="24"/>
        </w:rPr>
        <w:t>regional.</w:t>
      </w:r>
    </w:p>
    <w:p w14:paraId="2D2F4E88" w14:textId="2ED65452" w:rsidR="003C488D" w:rsidRDefault="006377D7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794A">
        <w:rPr>
          <w:rFonts w:ascii="Times New Roman" w:hAnsi="Times New Roman"/>
          <w:sz w:val="24"/>
          <w:szCs w:val="24"/>
        </w:rPr>
        <w:t xml:space="preserve">A ideia desses autores é que o fluxo de </w:t>
      </w:r>
      <w:r w:rsidR="008E0F22">
        <w:rPr>
          <w:rFonts w:ascii="Times New Roman" w:hAnsi="Times New Roman"/>
          <w:sz w:val="24"/>
          <w:szCs w:val="24"/>
        </w:rPr>
        <w:t>trabalhadores</w:t>
      </w:r>
      <w:r w:rsidRPr="00D9794A">
        <w:rPr>
          <w:rFonts w:ascii="Times New Roman" w:hAnsi="Times New Roman"/>
          <w:sz w:val="24"/>
          <w:szCs w:val="24"/>
        </w:rPr>
        <w:t xml:space="preserve"> por si </w:t>
      </w:r>
      <w:r w:rsidR="00A042D2">
        <w:rPr>
          <w:rFonts w:ascii="Times New Roman" w:hAnsi="Times New Roman"/>
          <w:sz w:val="24"/>
          <w:szCs w:val="24"/>
        </w:rPr>
        <w:t xml:space="preserve">só </w:t>
      </w:r>
      <w:r w:rsidRPr="00D9794A">
        <w:rPr>
          <w:rFonts w:ascii="Times New Roman" w:hAnsi="Times New Roman"/>
          <w:sz w:val="24"/>
          <w:szCs w:val="24"/>
        </w:rPr>
        <w:t xml:space="preserve">não gera crescimento, </w:t>
      </w:r>
      <w:r w:rsidR="00300FF6">
        <w:rPr>
          <w:rFonts w:ascii="Times New Roman" w:hAnsi="Times New Roman"/>
          <w:sz w:val="24"/>
          <w:szCs w:val="24"/>
        </w:rPr>
        <w:t>sendo</w:t>
      </w:r>
      <w:r w:rsidR="00300FF6" w:rsidRPr="00D9794A">
        <w:rPr>
          <w:rFonts w:ascii="Times New Roman" w:hAnsi="Times New Roman"/>
          <w:sz w:val="24"/>
          <w:szCs w:val="24"/>
        </w:rPr>
        <w:t xml:space="preserve"> </w:t>
      </w:r>
      <w:r w:rsidRPr="00D9794A">
        <w:rPr>
          <w:rFonts w:ascii="Times New Roman" w:hAnsi="Times New Roman"/>
          <w:sz w:val="24"/>
          <w:szCs w:val="24"/>
        </w:rPr>
        <w:t xml:space="preserve">preciso que haja proximidade cognitiva entre os indivíduos para que a região possa </w:t>
      </w:r>
      <w:r w:rsidR="0034040E" w:rsidRPr="00D9794A">
        <w:rPr>
          <w:rFonts w:ascii="Times New Roman" w:hAnsi="Times New Roman"/>
          <w:sz w:val="24"/>
          <w:szCs w:val="24"/>
        </w:rPr>
        <w:t xml:space="preserve">aproveitar de forma mais eficaz </w:t>
      </w:r>
      <w:r w:rsidR="00300FF6">
        <w:rPr>
          <w:rFonts w:ascii="Times New Roman" w:hAnsi="Times New Roman"/>
          <w:sz w:val="24"/>
          <w:szCs w:val="24"/>
        </w:rPr>
        <w:t>esse</w:t>
      </w:r>
      <w:r w:rsidR="00300FF6" w:rsidRPr="00D9794A">
        <w:rPr>
          <w:rFonts w:ascii="Times New Roman" w:hAnsi="Times New Roman"/>
          <w:sz w:val="24"/>
          <w:szCs w:val="24"/>
        </w:rPr>
        <w:t xml:space="preserve"> </w:t>
      </w:r>
      <w:r w:rsidR="007D1E88" w:rsidRPr="00D9794A">
        <w:rPr>
          <w:rFonts w:ascii="Times New Roman" w:hAnsi="Times New Roman"/>
          <w:sz w:val="24"/>
          <w:szCs w:val="24"/>
        </w:rPr>
        <w:t xml:space="preserve">transbordamento de </w:t>
      </w:r>
      <w:r w:rsidR="00132E71" w:rsidRPr="00D9794A">
        <w:rPr>
          <w:rFonts w:ascii="Times New Roman" w:hAnsi="Times New Roman"/>
          <w:sz w:val="24"/>
          <w:szCs w:val="24"/>
        </w:rPr>
        <w:t xml:space="preserve">conhecimento. Por meio da variedade relacionada e não relacionada é possível </w:t>
      </w:r>
      <w:r w:rsidR="007D1E88" w:rsidRPr="00D9794A">
        <w:rPr>
          <w:rFonts w:ascii="Times New Roman" w:hAnsi="Times New Roman"/>
          <w:sz w:val="24"/>
          <w:szCs w:val="24"/>
        </w:rPr>
        <w:t xml:space="preserve">definir o fluxo de mão de obra por composição setorial, captar a proximidade cognitiva </w:t>
      </w:r>
      <w:r w:rsidR="00CD3609" w:rsidRPr="00D9794A">
        <w:rPr>
          <w:rFonts w:ascii="Times New Roman" w:hAnsi="Times New Roman"/>
          <w:sz w:val="24"/>
          <w:szCs w:val="24"/>
        </w:rPr>
        <w:t>e avaliar seus impactos no crescimento.</w:t>
      </w:r>
    </w:p>
    <w:p w14:paraId="0AE4772C" w14:textId="4544F6C2" w:rsidR="00914EBA" w:rsidRDefault="008E0F22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f</w:t>
      </w:r>
      <w:r w:rsidR="00914EBA">
        <w:rPr>
          <w:rFonts w:ascii="Times New Roman" w:hAnsi="Times New Roman"/>
          <w:sz w:val="24"/>
          <w:szCs w:val="24"/>
        </w:rPr>
        <w:t xml:space="preserve">luxos </w:t>
      </w:r>
      <w:r>
        <w:rPr>
          <w:rFonts w:ascii="Times New Roman" w:hAnsi="Times New Roman"/>
          <w:sz w:val="24"/>
          <w:szCs w:val="24"/>
        </w:rPr>
        <w:t>dentro do mesmo setor</w:t>
      </w:r>
      <w:r w:rsidR="00914EBA">
        <w:rPr>
          <w:rFonts w:ascii="Times New Roman" w:hAnsi="Times New Roman"/>
          <w:sz w:val="24"/>
          <w:szCs w:val="24"/>
        </w:rPr>
        <w:t xml:space="preserve"> podem gerar crescimento econômico devido à similaridade tecnológica e especialização de mão de obra (MARSHALL,1920; SAXENIAN, 1994; JAFFE </w:t>
      </w:r>
      <w:r w:rsidR="00914EBA">
        <w:rPr>
          <w:rFonts w:ascii="Times New Roman" w:hAnsi="Times New Roman"/>
          <w:i/>
          <w:sz w:val="24"/>
          <w:szCs w:val="24"/>
        </w:rPr>
        <w:t>et al</w:t>
      </w:r>
      <w:r w:rsidR="00914EBA">
        <w:rPr>
          <w:rFonts w:ascii="Times New Roman" w:hAnsi="Times New Roman"/>
          <w:sz w:val="24"/>
          <w:szCs w:val="24"/>
        </w:rPr>
        <w:t>., 1993).</w:t>
      </w:r>
      <w:r w:rsidR="00E015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Já aqueles entre </w:t>
      </w:r>
      <w:r w:rsidR="00E015E2">
        <w:rPr>
          <w:rFonts w:ascii="Times New Roman" w:hAnsi="Times New Roman"/>
          <w:sz w:val="24"/>
          <w:szCs w:val="24"/>
        </w:rPr>
        <w:t>setores diversos</w:t>
      </w:r>
      <w:r w:rsidR="00284698">
        <w:rPr>
          <w:rFonts w:ascii="Times New Roman" w:hAnsi="Times New Roman"/>
          <w:sz w:val="24"/>
          <w:szCs w:val="24"/>
        </w:rPr>
        <w:t>,</w:t>
      </w:r>
      <w:r w:rsidR="00E015E2">
        <w:rPr>
          <w:rFonts w:ascii="Times New Roman" w:hAnsi="Times New Roman"/>
          <w:sz w:val="24"/>
          <w:szCs w:val="24"/>
        </w:rPr>
        <w:t xml:space="preserve"> proporciona</w:t>
      </w:r>
      <w:r w:rsidR="00284698">
        <w:rPr>
          <w:rFonts w:ascii="Times New Roman" w:hAnsi="Times New Roman"/>
          <w:sz w:val="24"/>
          <w:szCs w:val="24"/>
        </w:rPr>
        <w:t>m</w:t>
      </w:r>
      <w:r w:rsidR="00E015E2">
        <w:rPr>
          <w:rFonts w:ascii="Times New Roman" w:hAnsi="Times New Roman"/>
          <w:sz w:val="24"/>
          <w:szCs w:val="24"/>
        </w:rPr>
        <w:t xml:space="preserve"> crescimento por meio da troca de informações, podendo criar novos empregos e novos mercados (JACOBS, </w:t>
      </w:r>
      <w:r w:rsidR="00864970">
        <w:rPr>
          <w:rFonts w:ascii="Times New Roman" w:hAnsi="Times New Roman"/>
          <w:sz w:val="24"/>
          <w:szCs w:val="24"/>
        </w:rPr>
        <w:t>1969; FELDMAN e AUDRETSCH, 1999</w:t>
      </w:r>
      <w:r w:rsidR="00E015E2">
        <w:rPr>
          <w:rFonts w:ascii="Times New Roman" w:hAnsi="Times New Roman"/>
          <w:sz w:val="24"/>
          <w:szCs w:val="24"/>
        </w:rPr>
        <w:t>; HAUG, 2004).</w:t>
      </w:r>
      <w:r w:rsidR="00914EBA">
        <w:rPr>
          <w:rFonts w:ascii="Times New Roman" w:hAnsi="Times New Roman"/>
          <w:sz w:val="24"/>
          <w:szCs w:val="24"/>
        </w:rPr>
        <w:t xml:space="preserve"> </w:t>
      </w:r>
    </w:p>
    <w:p w14:paraId="79BC9C90" w14:textId="7B619232" w:rsidR="001D4537" w:rsidRDefault="00BF554E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Sendo assim, o</w:t>
      </w:r>
      <w:r w:rsidR="001D4537" w:rsidRPr="00D9794A">
        <w:rPr>
          <w:rFonts w:ascii="Times New Roman" w:hAnsi="Times New Roman"/>
          <w:sz w:val="24"/>
          <w:szCs w:val="24"/>
        </w:rPr>
        <w:t xml:space="preserve"> objetivo desse trabalho é estimar os impactos das externalidades do mercado de trabalho,</w:t>
      </w:r>
      <w:r w:rsidR="001D4537" w:rsidRPr="006012CC">
        <w:rPr>
          <w:rFonts w:ascii="Times New Roman" w:hAnsi="Times New Roman"/>
          <w:sz w:val="24"/>
          <w:szCs w:val="24"/>
        </w:rPr>
        <w:t xml:space="preserve"> </w:t>
      </w:r>
      <w:r w:rsidR="001D4537" w:rsidRPr="00D9794A">
        <w:rPr>
          <w:rFonts w:ascii="Times New Roman" w:hAnsi="Times New Roman"/>
          <w:sz w:val="24"/>
          <w:szCs w:val="24"/>
        </w:rPr>
        <w:t>mensurada</w:t>
      </w:r>
      <w:r w:rsidR="008E0F22">
        <w:rPr>
          <w:rFonts w:ascii="Times New Roman" w:hAnsi="Times New Roman"/>
          <w:sz w:val="24"/>
          <w:szCs w:val="24"/>
        </w:rPr>
        <w:t>s</w:t>
      </w:r>
      <w:r w:rsidR="001D4537" w:rsidRPr="00D9794A">
        <w:rPr>
          <w:rFonts w:ascii="Times New Roman" w:hAnsi="Times New Roman"/>
          <w:sz w:val="24"/>
          <w:szCs w:val="24"/>
        </w:rPr>
        <w:t xml:space="preserve"> </w:t>
      </w:r>
      <w:r w:rsidR="001D4537">
        <w:rPr>
          <w:rFonts w:ascii="Times New Roman" w:hAnsi="Times New Roman"/>
          <w:sz w:val="24"/>
          <w:szCs w:val="24"/>
        </w:rPr>
        <w:t>por graus de especialização</w:t>
      </w:r>
      <w:r w:rsidR="008E0F22">
        <w:rPr>
          <w:rFonts w:ascii="Times New Roman" w:hAnsi="Times New Roman"/>
          <w:sz w:val="24"/>
          <w:szCs w:val="24"/>
        </w:rPr>
        <w:t xml:space="preserve"> e,</w:t>
      </w:r>
      <w:r w:rsidR="001D4537">
        <w:rPr>
          <w:rFonts w:ascii="Times New Roman" w:hAnsi="Times New Roman"/>
          <w:sz w:val="24"/>
          <w:szCs w:val="24"/>
        </w:rPr>
        <w:t xml:space="preserve"> variedade relacionada e não relacionada da </w:t>
      </w:r>
      <w:r w:rsidR="001D4537" w:rsidRPr="00D9794A">
        <w:rPr>
          <w:rFonts w:ascii="Times New Roman" w:hAnsi="Times New Roman"/>
          <w:sz w:val="24"/>
          <w:szCs w:val="24"/>
        </w:rPr>
        <w:t>mobilidade</w:t>
      </w:r>
      <w:r w:rsidR="00545953">
        <w:rPr>
          <w:rFonts w:ascii="Times New Roman" w:hAnsi="Times New Roman"/>
          <w:sz w:val="24"/>
          <w:szCs w:val="24"/>
        </w:rPr>
        <w:t xml:space="preserve"> </w:t>
      </w:r>
      <w:r w:rsidR="001D4537" w:rsidRPr="00D9794A">
        <w:rPr>
          <w:rFonts w:ascii="Times New Roman" w:hAnsi="Times New Roman"/>
          <w:sz w:val="24"/>
          <w:szCs w:val="24"/>
        </w:rPr>
        <w:t xml:space="preserve">de mão de obra qualificada, </w:t>
      </w:r>
      <w:r w:rsidR="00CD6A62">
        <w:rPr>
          <w:rFonts w:ascii="Times New Roman" w:hAnsi="Times New Roman"/>
          <w:sz w:val="24"/>
          <w:szCs w:val="24"/>
        </w:rPr>
        <w:t>no desempenho</w:t>
      </w:r>
      <w:r w:rsidR="001D4537" w:rsidRPr="00D9794A">
        <w:rPr>
          <w:rFonts w:ascii="Times New Roman" w:hAnsi="Times New Roman"/>
          <w:sz w:val="24"/>
          <w:szCs w:val="24"/>
        </w:rPr>
        <w:t xml:space="preserve"> </w:t>
      </w:r>
      <w:r w:rsidR="001D4537">
        <w:rPr>
          <w:rFonts w:ascii="Times New Roman" w:hAnsi="Times New Roman"/>
          <w:sz w:val="24"/>
          <w:szCs w:val="24"/>
        </w:rPr>
        <w:t>de regiões</w:t>
      </w:r>
      <w:r w:rsidR="001D4537" w:rsidRPr="00D9794A">
        <w:rPr>
          <w:rFonts w:ascii="Times New Roman" w:hAnsi="Times New Roman"/>
          <w:sz w:val="24"/>
          <w:szCs w:val="24"/>
        </w:rPr>
        <w:t xml:space="preserve"> brasileiras</w:t>
      </w:r>
      <w:r w:rsidR="008E0F22">
        <w:rPr>
          <w:rFonts w:ascii="Times New Roman" w:hAnsi="Times New Roman"/>
          <w:sz w:val="24"/>
          <w:szCs w:val="24"/>
        </w:rPr>
        <w:t>,</w:t>
      </w:r>
      <w:r w:rsidR="001D4537" w:rsidRPr="00D9794A">
        <w:rPr>
          <w:rFonts w:ascii="Times New Roman" w:hAnsi="Times New Roman"/>
          <w:sz w:val="24"/>
          <w:szCs w:val="24"/>
        </w:rPr>
        <w:t xml:space="preserve"> </w:t>
      </w:r>
      <w:r w:rsidR="001D4537">
        <w:rPr>
          <w:rFonts w:ascii="Times New Roman" w:hAnsi="Times New Roman"/>
          <w:sz w:val="24"/>
          <w:szCs w:val="24"/>
        </w:rPr>
        <w:t>no</w:t>
      </w:r>
      <w:r w:rsidR="001D4537" w:rsidRPr="00D9794A">
        <w:rPr>
          <w:rFonts w:ascii="Times New Roman" w:hAnsi="Times New Roman"/>
          <w:sz w:val="24"/>
          <w:szCs w:val="24"/>
        </w:rPr>
        <w:t xml:space="preserve"> período de </w:t>
      </w:r>
      <w:r w:rsidR="00C17676">
        <w:rPr>
          <w:rFonts w:ascii="Times New Roman" w:hAnsi="Times New Roman"/>
          <w:sz w:val="24"/>
          <w:szCs w:val="24"/>
        </w:rPr>
        <w:t>1996</w:t>
      </w:r>
      <w:r w:rsidR="001D4537" w:rsidRPr="00D9794A">
        <w:rPr>
          <w:rFonts w:ascii="Times New Roman" w:hAnsi="Times New Roman"/>
          <w:sz w:val="24"/>
          <w:szCs w:val="24"/>
        </w:rPr>
        <w:t>-2008</w:t>
      </w:r>
      <w:r w:rsidR="008E0F22">
        <w:rPr>
          <w:rFonts w:ascii="Times New Roman" w:hAnsi="Times New Roman"/>
          <w:sz w:val="24"/>
          <w:szCs w:val="24"/>
        </w:rPr>
        <w:t xml:space="preserve">. Utiliza-se como medida de resultado os </w:t>
      </w:r>
      <w:r w:rsidR="00CD6A62">
        <w:rPr>
          <w:rFonts w:ascii="Times New Roman" w:hAnsi="Times New Roman"/>
          <w:sz w:val="24"/>
          <w:szCs w:val="24"/>
        </w:rPr>
        <w:t xml:space="preserve">salários e </w:t>
      </w:r>
      <w:r w:rsidR="008E0F22">
        <w:rPr>
          <w:rFonts w:ascii="Times New Roman" w:hAnsi="Times New Roman"/>
          <w:sz w:val="24"/>
          <w:szCs w:val="24"/>
        </w:rPr>
        <w:t xml:space="preserve">o </w:t>
      </w:r>
      <w:r w:rsidR="00CD6A62">
        <w:rPr>
          <w:rFonts w:ascii="Times New Roman" w:hAnsi="Times New Roman"/>
          <w:sz w:val="24"/>
          <w:szCs w:val="24"/>
        </w:rPr>
        <w:t>emprego</w:t>
      </w:r>
      <w:r w:rsidR="001D4537" w:rsidRPr="00D9794A">
        <w:rPr>
          <w:rFonts w:ascii="Times New Roman" w:hAnsi="Times New Roman"/>
          <w:sz w:val="24"/>
          <w:szCs w:val="24"/>
        </w:rPr>
        <w:t>.</w:t>
      </w:r>
      <w:r w:rsidR="00411E63">
        <w:rPr>
          <w:rFonts w:ascii="Times New Roman" w:hAnsi="Times New Roman"/>
          <w:sz w:val="24"/>
          <w:szCs w:val="24"/>
        </w:rPr>
        <w:t xml:space="preserve"> </w:t>
      </w:r>
      <w:r w:rsidR="00914EBA">
        <w:rPr>
          <w:rFonts w:ascii="Times New Roman" w:hAnsi="Times New Roman"/>
          <w:sz w:val="24"/>
          <w:szCs w:val="24"/>
        </w:rPr>
        <w:t>O</w:t>
      </w:r>
      <w:r w:rsidR="00411E63">
        <w:rPr>
          <w:rFonts w:ascii="Times New Roman" w:hAnsi="Times New Roman"/>
          <w:sz w:val="24"/>
          <w:szCs w:val="24"/>
        </w:rPr>
        <w:t xml:space="preserve"> </w:t>
      </w:r>
      <w:r w:rsidR="00A64BF7">
        <w:rPr>
          <w:rFonts w:ascii="Times New Roman" w:hAnsi="Times New Roman"/>
          <w:sz w:val="24"/>
          <w:szCs w:val="24"/>
        </w:rPr>
        <w:t>objetivo específico</w:t>
      </w:r>
      <w:r w:rsidR="00914EBA">
        <w:rPr>
          <w:rFonts w:ascii="Times New Roman" w:hAnsi="Times New Roman"/>
          <w:sz w:val="24"/>
          <w:szCs w:val="24"/>
        </w:rPr>
        <w:t xml:space="preserve"> </w:t>
      </w:r>
      <w:r w:rsidR="00797CE2">
        <w:rPr>
          <w:rFonts w:ascii="Times New Roman" w:hAnsi="Times New Roman"/>
          <w:sz w:val="24"/>
          <w:szCs w:val="24"/>
        </w:rPr>
        <w:t>é verificar</w:t>
      </w:r>
      <w:r w:rsidR="00411E63">
        <w:rPr>
          <w:rFonts w:ascii="Times New Roman" w:hAnsi="Times New Roman"/>
          <w:sz w:val="24"/>
          <w:szCs w:val="24"/>
        </w:rPr>
        <w:t xml:space="preserve"> a diferença entre os impactos da mobilidade inter-regional e intrarregional sobre o crescimento</w:t>
      </w:r>
      <w:r w:rsidR="00545953">
        <w:rPr>
          <w:rFonts w:ascii="Times New Roman" w:hAnsi="Times New Roman"/>
          <w:sz w:val="24"/>
          <w:szCs w:val="24"/>
        </w:rPr>
        <w:t>.</w:t>
      </w:r>
    </w:p>
    <w:p w14:paraId="4D4D4358" w14:textId="3482809F" w:rsidR="004B17F1" w:rsidRDefault="00C708E2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Baseado em </w:t>
      </w:r>
      <w:proofErr w:type="spellStart"/>
      <w:r w:rsidR="006F0946" w:rsidRPr="00D9794A">
        <w:rPr>
          <w:rFonts w:ascii="Times New Roman" w:hAnsi="Times New Roman"/>
          <w:sz w:val="24"/>
          <w:szCs w:val="24"/>
        </w:rPr>
        <w:t>Boschma</w:t>
      </w:r>
      <w:proofErr w:type="spellEnd"/>
      <w:r w:rsidR="006F0946" w:rsidRPr="00D9794A">
        <w:rPr>
          <w:rFonts w:ascii="Times New Roman" w:hAnsi="Times New Roman"/>
          <w:sz w:val="24"/>
          <w:szCs w:val="24"/>
        </w:rPr>
        <w:t xml:space="preserve"> </w:t>
      </w:r>
      <w:r w:rsidR="006F0946" w:rsidRPr="00313661">
        <w:rPr>
          <w:rFonts w:ascii="Times New Roman" w:hAnsi="Times New Roman"/>
          <w:i/>
          <w:sz w:val="24"/>
          <w:szCs w:val="24"/>
        </w:rPr>
        <w:t>et al.</w:t>
      </w:r>
      <w:r w:rsidR="006F0946" w:rsidRPr="00D9794A">
        <w:rPr>
          <w:rFonts w:ascii="Times New Roman" w:hAnsi="Times New Roman"/>
          <w:sz w:val="24"/>
          <w:szCs w:val="24"/>
        </w:rPr>
        <w:t xml:space="preserve"> (2014)</w:t>
      </w:r>
      <w:r w:rsidR="00785F13">
        <w:rPr>
          <w:rFonts w:ascii="Times New Roman" w:hAnsi="Times New Roman"/>
          <w:sz w:val="24"/>
          <w:szCs w:val="24"/>
        </w:rPr>
        <w:t>,</w:t>
      </w:r>
      <w:r w:rsidR="006F0946" w:rsidRPr="00D9794A">
        <w:rPr>
          <w:rFonts w:ascii="Times New Roman" w:hAnsi="Times New Roman"/>
          <w:sz w:val="24"/>
          <w:szCs w:val="24"/>
        </w:rPr>
        <w:t xml:space="preserve"> </w:t>
      </w:r>
      <w:r w:rsidR="008E0F22">
        <w:rPr>
          <w:rFonts w:ascii="Times New Roman" w:hAnsi="Times New Roman"/>
          <w:sz w:val="24"/>
          <w:szCs w:val="24"/>
        </w:rPr>
        <w:t>utiliza</w:t>
      </w:r>
      <w:r>
        <w:rPr>
          <w:rFonts w:ascii="Times New Roman" w:hAnsi="Times New Roman"/>
          <w:sz w:val="24"/>
          <w:szCs w:val="24"/>
        </w:rPr>
        <w:t>-se</w:t>
      </w:r>
      <w:r w:rsidR="006F0946" w:rsidRPr="00D9794A">
        <w:rPr>
          <w:rFonts w:ascii="Times New Roman" w:hAnsi="Times New Roman"/>
          <w:sz w:val="24"/>
          <w:szCs w:val="24"/>
        </w:rPr>
        <w:t xml:space="preserve"> um painel dinâmico e </w:t>
      </w:r>
      <w:r w:rsidR="00785F13" w:rsidRPr="00D9794A">
        <w:rPr>
          <w:rFonts w:ascii="Times New Roman" w:hAnsi="Times New Roman"/>
          <w:sz w:val="24"/>
          <w:szCs w:val="24"/>
        </w:rPr>
        <w:t>me</w:t>
      </w:r>
      <w:r w:rsidR="00785F13">
        <w:rPr>
          <w:rFonts w:ascii="Times New Roman" w:hAnsi="Times New Roman"/>
          <w:sz w:val="24"/>
          <w:szCs w:val="24"/>
        </w:rPr>
        <w:t>d</w:t>
      </w:r>
      <w:r w:rsidR="00785F13" w:rsidRPr="00D9794A">
        <w:rPr>
          <w:rFonts w:ascii="Times New Roman" w:hAnsi="Times New Roman"/>
          <w:sz w:val="24"/>
          <w:szCs w:val="24"/>
        </w:rPr>
        <w:t xml:space="preserve">idas </w:t>
      </w:r>
      <w:r w:rsidR="006F0946" w:rsidRPr="00D9794A">
        <w:rPr>
          <w:rFonts w:ascii="Times New Roman" w:hAnsi="Times New Roman"/>
          <w:sz w:val="24"/>
          <w:szCs w:val="24"/>
        </w:rPr>
        <w:t xml:space="preserve">de entropia. </w:t>
      </w:r>
      <w:r w:rsidR="008E0F22">
        <w:rPr>
          <w:rFonts w:ascii="Times New Roman" w:hAnsi="Times New Roman"/>
          <w:sz w:val="24"/>
          <w:szCs w:val="24"/>
        </w:rPr>
        <w:t>Para tal, a</w:t>
      </w:r>
      <w:r w:rsidR="006F0946" w:rsidRPr="00D9794A">
        <w:rPr>
          <w:rFonts w:ascii="Times New Roman" w:hAnsi="Times New Roman"/>
          <w:sz w:val="24"/>
          <w:szCs w:val="24"/>
        </w:rPr>
        <w:t xml:space="preserve"> base de dados utilizada será a RAIS-MIGRA</w:t>
      </w:r>
      <w:r w:rsidR="008E0F22">
        <w:rPr>
          <w:rFonts w:ascii="Times New Roman" w:hAnsi="Times New Roman"/>
          <w:sz w:val="24"/>
          <w:szCs w:val="24"/>
        </w:rPr>
        <w:t>,</w:t>
      </w:r>
      <w:r w:rsidR="003E7D6A">
        <w:rPr>
          <w:rFonts w:ascii="Times New Roman" w:hAnsi="Times New Roman"/>
          <w:sz w:val="24"/>
          <w:szCs w:val="24"/>
        </w:rPr>
        <w:t xml:space="preserve"> a qual permite</w:t>
      </w:r>
      <w:r w:rsidR="006F0946" w:rsidRPr="00D9794A">
        <w:rPr>
          <w:rFonts w:ascii="Times New Roman" w:hAnsi="Times New Roman"/>
          <w:sz w:val="24"/>
          <w:szCs w:val="24"/>
        </w:rPr>
        <w:t xml:space="preserve"> captar </w:t>
      </w:r>
      <w:r>
        <w:rPr>
          <w:rFonts w:ascii="Times New Roman" w:hAnsi="Times New Roman"/>
          <w:sz w:val="24"/>
          <w:szCs w:val="24"/>
        </w:rPr>
        <w:t xml:space="preserve">onde os indivíduos estão localizados, </w:t>
      </w:r>
      <w:r w:rsidR="00BF554E">
        <w:rPr>
          <w:rFonts w:ascii="Times New Roman" w:hAnsi="Times New Roman"/>
          <w:sz w:val="24"/>
          <w:szCs w:val="24"/>
        </w:rPr>
        <w:t>ano a ano</w:t>
      </w:r>
      <w:r w:rsidR="006F0946" w:rsidRPr="00D9794A">
        <w:rPr>
          <w:rFonts w:ascii="Times New Roman" w:hAnsi="Times New Roman"/>
          <w:sz w:val="24"/>
          <w:szCs w:val="24"/>
        </w:rPr>
        <w:t xml:space="preserve">. </w:t>
      </w:r>
      <w:r w:rsidR="00CD3609" w:rsidRPr="00D9794A">
        <w:rPr>
          <w:rFonts w:ascii="Times New Roman" w:hAnsi="Times New Roman"/>
          <w:sz w:val="24"/>
          <w:szCs w:val="24"/>
        </w:rPr>
        <w:t>A utilização dessa metodologia é recente</w:t>
      </w:r>
      <w:r w:rsidR="00545953">
        <w:rPr>
          <w:rFonts w:ascii="Times New Roman" w:hAnsi="Times New Roman"/>
          <w:sz w:val="24"/>
          <w:szCs w:val="24"/>
        </w:rPr>
        <w:t xml:space="preserve"> e</w:t>
      </w:r>
      <w:r w:rsidR="00CD3609" w:rsidRPr="00D9794A">
        <w:rPr>
          <w:rFonts w:ascii="Times New Roman" w:hAnsi="Times New Roman"/>
          <w:sz w:val="24"/>
          <w:szCs w:val="24"/>
        </w:rPr>
        <w:t xml:space="preserve">, </w:t>
      </w:r>
      <w:r w:rsidR="00AB25F4">
        <w:rPr>
          <w:rFonts w:ascii="Times New Roman" w:hAnsi="Times New Roman"/>
          <w:sz w:val="24"/>
          <w:szCs w:val="24"/>
        </w:rPr>
        <w:t>até onde vai o conhecimento dos autores</w:t>
      </w:r>
      <w:r w:rsidR="00545953">
        <w:rPr>
          <w:rFonts w:ascii="Times New Roman" w:hAnsi="Times New Roman"/>
          <w:sz w:val="24"/>
          <w:szCs w:val="24"/>
        </w:rPr>
        <w:t>,</w:t>
      </w:r>
      <w:r w:rsidR="00AB25F4">
        <w:rPr>
          <w:rFonts w:ascii="Times New Roman" w:hAnsi="Times New Roman"/>
          <w:sz w:val="24"/>
          <w:szCs w:val="24"/>
        </w:rPr>
        <w:t xml:space="preserve"> não há </w:t>
      </w:r>
      <w:r w:rsidR="00CD3609" w:rsidRPr="00D9794A">
        <w:rPr>
          <w:rFonts w:ascii="Times New Roman" w:hAnsi="Times New Roman"/>
          <w:sz w:val="24"/>
          <w:szCs w:val="24"/>
        </w:rPr>
        <w:t>trabalhos empíricos para o Brasil</w:t>
      </w:r>
      <w:r w:rsidR="00AB25F4">
        <w:rPr>
          <w:rFonts w:ascii="Times New Roman" w:hAnsi="Times New Roman"/>
          <w:sz w:val="24"/>
          <w:szCs w:val="24"/>
        </w:rPr>
        <w:t xml:space="preserve"> que utilizam essa abordagem.</w:t>
      </w:r>
      <w:r w:rsidR="00AB25F4" w:rsidRPr="00D9794A">
        <w:rPr>
          <w:rFonts w:ascii="Times New Roman" w:hAnsi="Times New Roman"/>
          <w:sz w:val="24"/>
          <w:szCs w:val="24"/>
        </w:rPr>
        <w:t xml:space="preserve"> </w:t>
      </w:r>
      <w:r w:rsidR="004D02B5">
        <w:rPr>
          <w:rFonts w:ascii="Times New Roman" w:hAnsi="Times New Roman"/>
          <w:sz w:val="24"/>
          <w:szCs w:val="24"/>
        </w:rPr>
        <w:t>A</w:t>
      </w:r>
      <w:r w:rsidR="004D02B5" w:rsidRPr="00D9794A">
        <w:rPr>
          <w:rFonts w:ascii="Times New Roman" w:hAnsi="Times New Roman"/>
          <w:sz w:val="24"/>
          <w:szCs w:val="24"/>
        </w:rPr>
        <w:t xml:space="preserve"> maioria dos trabalhos </w:t>
      </w:r>
      <w:r w:rsidR="004D02B5">
        <w:rPr>
          <w:rFonts w:ascii="Times New Roman" w:hAnsi="Times New Roman"/>
          <w:sz w:val="24"/>
          <w:szCs w:val="24"/>
        </w:rPr>
        <w:t>brasileiros</w:t>
      </w:r>
      <w:r w:rsidR="004D02B5" w:rsidRPr="00D9794A">
        <w:rPr>
          <w:rFonts w:ascii="Times New Roman" w:hAnsi="Times New Roman"/>
          <w:sz w:val="24"/>
          <w:szCs w:val="24"/>
        </w:rPr>
        <w:t xml:space="preserve"> sobre mobilidade tem</w:t>
      </w:r>
      <w:r w:rsidR="00CD3609" w:rsidRPr="00D9794A">
        <w:rPr>
          <w:rFonts w:ascii="Times New Roman" w:hAnsi="Times New Roman"/>
          <w:sz w:val="24"/>
          <w:szCs w:val="24"/>
        </w:rPr>
        <w:t xml:space="preserve"> enfoque nos</w:t>
      </w:r>
      <w:r w:rsidR="00B1367F">
        <w:rPr>
          <w:rFonts w:ascii="Times New Roman" w:hAnsi="Times New Roman"/>
          <w:sz w:val="24"/>
          <w:szCs w:val="24"/>
        </w:rPr>
        <w:t xml:space="preserve"> seus</w:t>
      </w:r>
      <w:r w:rsidR="00CD3609" w:rsidRPr="00D9794A">
        <w:rPr>
          <w:rFonts w:ascii="Times New Roman" w:hAnsi="Times New Roman"/>
          <w:sz w:val="24"/>
          <w:szCs w:val="24"/>
        </w:rPr>
        <w:t xml:space="preserve"> determinantes</w:t>
      </w:r>
      <w:r w:rsidR="00015BCD">
        <w:rPr>
          <w:rFonts w:ascii="Times New Roman" w:hAnsi="Times New Roman"/>
          <w:sz w:val="24"/>
          <w:szCs w:val="24"/>
        </w:rPr>
        <w:t>,</w:t>
      </w:r>
      <w:r w:rsidR="006012CC" w:rsidRPr="006012CC">
        <w:rPr>
          <w:rFonts w:ascii="Times New Roman" w:hAnsi="Times New Roman"/>
          <w:sz w:val="24"/>
          <w:szCs w:val="24"/>
        </w:rPr>
        <w:t xml:space="preserve"> </w:t>
      </w:r>
      <w:r w:rsidR="006012CC">
        <w:rPr>
          <w:rFonts w:ascii="Times New Roman" w:hAnsi="Times New Roman"/>
          <w:sz w:val="24"/>
          <w:szCs w:val="24"/>
        </w:rPr>
        <w:t>como maiores níveis de renda da região de destino (</w:t>
      </w:r>
      <w:r w:rsidR="006012CC" w:rsidRPr="00D9794A">
        <w:rPr>
          <w:rFonts w:ascii="Times New Roman" w:hAnsi="Times New Roman"/>
          <w:sz w:val="24"/>
          <w:szCs w:val="24"/>
        </w:rPr>
        <w:t xml:space="preserve">NETTO JR e MOREIRA, 2003; FREGUGLIA </w:t>
      </w:r>
      <w:r w:rsidR="006012CC" w:rsidRPr="00D9794A">
        <w:rPr>
          <w:rFonts w:ascii="Times New Roman" w:hAnsi="Times New Roman"/>
          <w:i/>
          <w:sz w:val="24"/>
          <w:szCs w:val="24"/>
        </w:rPr>
        <w:t>et al</w:t>
      </w:r>
      <w:r w:rsidR="006012CC">
        <w:rPr>
          <w:rFonts w:ascii="Times New Roman" w:hAnsi="Times New Roman"/>
          <w:sz w:val="24"/>
          <w:szCs w:val="24"/>
        </w:rPr>
        <w:t>., 2014) e menores níveis de desigualdade social (</w:t>
      </w:r>
      <w:r w:rsidR="006012CC" w:rsidRPr="00D9794A">
        <w:rPr>
          <w:rFonts w:ascii="Times New Roman" w:hAnsi="Times New Roman"/>
          <w:sz w:val="24"/>
          <w:szCs w:val="24"/>
        </w:rPr>
        <w:t xml:space="preserve">DA MATA </w:t>
      </w:r>
      <w:r w:rsidR="006012CC" w:rsidRPr="00D9794A">
        <w:rPr>
          <w:rFonts w:ascii="Times New Roman" w:hAnsi="Times New Roman"/>
          <w:i/>
          <w:sz w:val="24"/>
          <w:szCs w:val="24"/>
        </w:rPr>
        <w:t>e</w:t>
      </w:r>
      <w:r w:rsidR="006012CC">
        <w:rPr>
          <w:rFonts w:ascii="Times New Roman" w:hAnsi="Times New Roman"/>
          <w:i/>
          <w:sz w:val="24"/>
          <w:szCs w:val="24"/>
        </w:rPr>
        <w:t>t al</w:t>
      </w:r>
      <w:r w:rsidR="006012CC">
        <w:rPr>
          <w:rFonts w:ascii="Times New Roman" w:hAnsi="Times New Roman"/>
          <w:sz w:val="24"/>
          <w:szCs w:val="24"/>
        </w:rPr>
        <w:t>.,</w:t>
      </w:r>
      <w:r w:rsidR="00D16038">
        <w:rPr>
          <w:rFonts w:ascii="Times New Roman" w:hAnsi="Times New Roman"/>
          <w:sz w:val="24"/>
          <w:szCs w:val="24"/>
        </w:rPr>
        <w:t xml:space="preserve"> </w:t>
      </w:r>
      <w:r w:rsidR="006012CC">
        <w:rPr>
          <w:rFonts w:ascii="Times New Roman" w:hAnsi="Times New Roman"/>
          <w:sz w:val="24"/>
          <w:szCs w:val="24"/>
        </w:rPr>
        <w:t xml:space="preserve">2008; SABBADINI e AZZONI, </w:t>
      </w:r>
      <w:r w:rsidR="006012CC" w:rsidRPr="00D9794A">
        <w:rPr>
          <w:rFonts w:ascii="Times New Roman" w:hAnsi="Times New Roman"/>
          <w:sz w:val="24"/>
          <w:szCs w:val="24"/>
        </w:rPr>
        <w:t>2006</w:t>
      </w:r>
      <w:r w:rsidR="006012CC">
        <w:rPr>
          <w:rFonts w:ascii="Times New Roman" w:hAnsi="Times New Roman"/>
          <w:sz w:val="24"/>
          <w:szCs w:val="24"/>
        </w:rPr>
        <w:t>)</w:t>
      </w:r>
      <w:r w:rsidR="004F4B17">
        <w:rPr>
          <w:rFonts w:ascii="Times New Roman" w:hAnsi="Times New Roman"/>
          <w:sz w:val="24"/>
          <w:szCs w:val="24"/>
        </w:rPr>
        <w:t xml:space="preserve">. </w:t>
      </w:r>
      <w:r w:rsidR="00CD3609" w:rsidRPr="00D9794A">
        <w:rPr>
          <w:rFonts w:ascii="Times New Roman" w:hAnsi="Times New Roman"/>
          <w:sz w:val="24"/>
          <w:szCs w:val="24"/>
        </w:rPr>
        <w:t xml:space="preserve">Desse modo, o presente trabalho pretende preencher essa </w:t>
      </w:r>
      <w:r w:rsidR="00D16038" w:rsidRPr="00D9794A">
        <w:rPr>
          <w:rFonts w:ascii="Times New Roman" w:hAnsi="Times New Roman"/>
          <w:sz w:val="24"/>
          <w:szCs w:val="24"/>
        </w:rPr>
        <w:t>lacuna</w:t>
      </w:r>
      <w:r w:rsidR="00D16038">
        <w:rPr>
          <w:rFonts w:ascii="Times New Roman" w:hAnsi="Times New Roman"/>
          <w:sz w:val="24"/>
          <w:szCs w:val="24"/>
        </w:rPr>
        <w:t xml:space="preserve">, </w:t>
      </w:r>
      <w:r w:rsidR="00D16038" w:rsidRPr="00D9794A">
        <w:rPr>
          <w:rFonts w:ascii="Times New Roman" w:hAnsi="Times New Roman"/>
          <w:sz w:val="24"/>
          <w:szCs w:val="24"/>
        </w:rPr>
        <w:t>além</w:t>
      </w:r>
      <w:r w:rsidR="00CD3609" w:rsidRPr="00D9794A">
        <w:rPr>
          <w:rFonts w:ascii="Times New Roman" w:hAnsi="Times New Roman"/>
          <w:sz w:val="24"/>
          <w:szCs w:val="24"/>
        </w:rPr>
        <w:t xml:space="preserve"> de tentar mostrar de que modo os fluxos de mão de obra impactam no crescimento das regiões brasileiras.</w:t>
      </w:r>
    </w:p>
    <w:p w14:paraId="3E8021D9" w14:textId="21C391E4" w:rsidR="00C3687D" w:rsidRDefault="0021631C" w:rsidP="00C3687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resultados desse trabalho mostram que o grau de especialização intrarregional é o principal impulsionador de crescimento regional, aumentando a taxa de crescimento anual da remuneração média e podendo ser utilizado como um indicador de externalidade </w:t>
      </w:r>
      <w:proofErr w:type="spellStart"/>
      <w:r>
        <w:rPr>
          <w:rFonts w:ascii="Times New Roman" w:hAnsi="Times New Roman"/>
          <w:sz w:val="24"/>
          <w:szCs w:val="24"/>
        </w:rPr>
        <w:t>marshaliana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C3687D">
        <w:rPr>
          <w:rFonts w:ascii="Times New Roman" w:hAnsi="Times New Roman"/>
          <w:sz w:val="24"/>
          <w:szCs w:val="24"/>
        </w:rPr>
        <w:t xml:space="preserve">A variedade de conhecimento não apresentou impacto significativo no crescimento regional, indicando uma elevada distância cognitiva entre os setores industriais brasileiros. </w:t>
      </w:r>
      <w:r>
        <w:rPr>
          <w:rFonts w:ascii="Times New Roman" w:hAnsi="Times New Roman"/>
          <w:sz w:val="24"/>
          <w:szCs w:val="24"/>
        </w:rPr>
        <w:t>Além disso, os mapas de externali</w:t>
      </w:r>
      <w:r w:rsidR="00CD6A62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 xml:space="preserve">des de trabalho </w:t>
      </w:r>
      <w:r w:rsidR="00AC2F97">
        <w:rPr>
          <w:rFonts w:ascii="Times New Roman" w:hAnsi="Times New Roman"/>
          <w:sz w:val="24"/>
          <w:szCs w:val="24"/>
        </w:rPr>
        <w:t xml:space="preserve">intrarregional </w:t>
      </w:r>
      <w:r>
        <w:rPr>
          <w:rFonts w:ascii="Times New Roman" w:hAnsi="Times New Roman"/>
          <w:sz w:val="24"/>
          <w:szCs w:val="24"/>
        </w:rPr>
        <w:t xml:space="preserve">mostram que as </w:t>
      </w:r>
      <w:proofErr w:type="spellStart"/>
      <w:r>
        <w:rPr>
          <w:rFonts w:ascii="Times New Roman" w:hAnsi="Times New Roman"/>
          <w:sz w:val="24"/>
          <w:szCs w:val="24"/>
        </w:rPr>
        <w:t>Regics</w:t>
      </w:r>
      <w:proofErr w:type="spellEnd"/>
      <w:r>
        <w:rPr>
          <w:rFonts w:ascii="Times New Roman" w:hAnsi="Times New Roman"/>
          <w:sz w:val="24"/>
          <w:szCs w:val="24"/>
        </w:rPr>
        <w:t xml:space="preserve"> brasileiras apresentaram maiores graus de especialização que as demais medidas de externalidades </w:t>
      </w:r>
      <w:r w:rsidR="00CD6A62">
        <w:rPr>
          <w:rFonts w:ascii="Times New Roman" w:hAnsi="Times New Roman"/>
          <w:sz w:val="24"/>
          <w:szCs w:val="24"/>
        </w:rPr>
        <w:t>utilizadas</w:t>
      </w:r>
      <w:r w:rsidR="00AC2F97">
        <w:rPr>
          <w:rFonts w:ascii="Times New Roman" w:hAnsi="Times New Roman"/>
          <w:sz w:val="24"/>
          <w:szCs w:val="24"/>
        </w:rPr>
        <w:t>, enquanto nos mapas de externalidades de trabalho inter-regional, os graus de variedade relacionada e variedade não relacionada são as maiores medidas.</w:t>
      </w:r>
    </w:p>
    <w:p w14:paraId="468E8FFC" w14:textId="718F4E81" w:rsidR="006B1DD0" w:rsidRDefault="006B1DD0" w:rsidP="00D55CA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Além desta introdução</w:t>
      </w:r>
      <w:r w:rsidR="00D55CA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este trabalho apresenta na próxima seção o referencial teórico sobre o tema. Em seguida, serão apresentados os dados e o modelo utilizado. Logo após, são apresentados mapas de externalidades de trabalho</w:t>
      </w:r>
      <w:r w:rsidR="008E7A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os resultados das estimações </w:t>
      </w:r>
      <w:r w:rsidR="008E7A47">
        <w:rPr>
          <w:rFonts w:ascii="Times New Roman" w:hAnsi="Times New Roman"/>
          <w:sz w:val="24"/>
          <w:szCs w:val="24"/>
        </w:rPr>
        <w:t xml:space="preserve">e um teste de robustez </w:t>
      </w:r>
      <w:r>
        <w:rPr>
          <w:rFonts w:ascii="Times New Roman" w:hAnsi="Times New Roman"/>
          <w:sz w:val="24"/>
          <w:szCs w:val="24"/>
        </w:rPr>
        <w:t>e, por fim, as conclusões.</w:t>
      </w:r>
    </w:p>
    <w:p w14:paraId="485DB9A8" w14:textId="760792C5" w:rsidR="00AC2F97" w:rsidRDefault="00AC2F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8B626C8" w14:textId="77777777" w:rsidR="00AD2979" w:rsidRDefault="00AD2979" w:rsidP="008A26E4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9794A">
        <w:rPr>
          <w:rFonts w:ascii="Times New Roman" w:hAnsi="Times New Roman"/>
          <w:b/>
          <w:sz w:val="24"/>
          <w:szCs w:val="24"/>
        </w:rPr>
        <w:lastRenderedPageBreak/>
        <w:t>REFERENCIAL TEÓRICO</w:t>
      </w:r>
    </w:p>
    <w:p w14:paraId="4EFA81D9" w14:textId="246FE4B6" w:rsidR="006E4CD7" w:rsidRDefault="006E4CD7" w:rsidP="008A26E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capital humano é um fator de produção diferente do capital físico, uma vez que está embutido nas habilidades dos indivíduos</w:t>
      </w:r>
      <w:r w:rsidR="00E71832">
        <w:rPr>
          <w:rFonts w:ascii="Times New Roman" w:hAnsi="Times New Roman"/>
          <w:sz w:val="24"/>
          <w:szCs w:val="24"/>
        </w:rPr>
        <w:t xml:space="preserve">. Assim, </w:t>
      </w:r>
      <w:r>
        <w:rPr>
          <w:rFonts w:ascii="Times New Roman" w:hAnsi="Times New Roman"/>
          <w:sz w:val="24"/>
          <w:szCs w:val="24"/>
        </w:rPr>
        <w:t>a transferência do capital humano dá-se por meio da mobilidade d</w:t>
      </w:r>
      <w:r w:rsidR="00015BCD">
        <w:rPr>
          <w:rFonts w:ascii="Times New Roman" w:hAnsi="Times New Roman"/>
          <w:sz w:val="24"/>
          <w:szCs w:val="24"/>
        </w:rPr>
        <w:t>esses agentes</w:t>
      </w:r>
      <w:r>
        <w:rPr>
          <w:rFonts w:ascii="Times New Roman" w:hAnsi="Times New Roman"/>
          <w:sz w:val="24"/>
          <w:szCs w:val="24"/>
        </w:rPr>
        <w:t xml:space="preserve"> (FRATESI, 2014).</w:t>
      </w:r>
      <w:r w:rsidR="0060362A">
        <w:rPr>
          <w:rFonts w:ascii="Times New Roman" w:hAnsi="Times New Roman"/>
          <w:sz w:val="24"/>
          <w:szCs w:val="24"/>
        </w:rPr>
        <w:t xml:space="preserve"> </w:t>
      </w:r>
      <w:r w:rsidR="00E71832">
        <w:rPr>
          <w:rFonts w:ascii="Times New Roman" w:hAnsi="Times New Roman"/>
          <w:sz w:val="24"/>
          <w:szCs w:val="24"/>
        </w:rPr>
        <w:t>Como consequência, e</w:t>
      </w:r>
      <w:r w:rsidR="0060362A">
        <w:rPr>
          <w:rFonts w:ascii="Times New Roman" w:hAnsi="Times New Roman"/>
          <w:sz w:val="24"/>
          <w:szCs w:val="24"/>
        </w:rPr>
        <w:t xml:space="preserve">sse tipo de capital é tido como um facilitador de transbordamento de conhecimento </w:t>
      </w:r>
      <w:r w:rsidR="006248D3">
        <w:rPr>
          <w:rFonts w:ascii="Times New Roman" w:hAnsi="Times New Roman"/>
          <w:sz w:val="24"/>
          <w:szCs w:val="24"/>
        </w:rPr>
        <w:t>e impulsionador de inovações (BOE</w:t>
      </w:r>
      <w:r w:rsidR="0060362A">
        <w:rPr>
          <w:rFonts w:ascii="Times New Roman" w:hAnsi="Times New Roman"/>
          <w:sz w:val="24"/>
          <w:szCs w:val="24"/>
        </w:rPr>
        <w:t>KER, 19</w:t>
      </w:r>
      <w:r w:rsidR="006248D3">
        <w:rPr>
          <w:rFonts w:ascii="Times New Roman" w:hAnsi="Times New Roman"/>
          <w:sz w:val="24"/>
          <w:szCs w:val="24"/>
        </w:rPr>
        <w:t>97</w:t>
      </w:r>
      <w:r w:rsidR="0060362A">
        <w:rPr>
          <w:rFonts w:ascii="Times New Roman" w:hAnsi="Times New Roman"/>
          <w:sz w:val="24"/>
          <w:szCs w:val="24"/>
        </w:rPr>
        <w:t>).</w:t>
      </w:r>
    </w:p>
    <w:p w14:paraId="7B544EB3" w14:textId="29602E93" w:rsidR="00937C2D" w:rsidRDefault="00937C2D" w:rsidP="008A26E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interação entre capital humano e transbordamento de conhecimento gera efeitos cumulativos de aprendizagem (FAGGIAN e MCCANN, 2009), de modo que a contratação de indivíduos com alto nível de capital humano incorporado</w:t>
      </w:r>
      <w:r w:rsidR="00E7183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proporciona transbordamento</w:t>
      </w:r>
      <w:r w:rsidR="00CD6A6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de conhecimento</w:t>
      </w:r>
      <w:r w:rsidR="00015BCD">
        <w:rPr>
          <w:rFonts w:ascii="Times New Roman" w:hAnsi="Times New Roman"/>
          <w:sz w:val="24"/>
          <w:szCs w:val="24"/>
        </w:rPr>
        <w:t xml:space="preserve"> a medida em que </w:t>
      </w:r>
      <w:r>
        <w:rPr>
          <w:rFonts w:ascii="Times New Roman" w:hAnsi="Times New Roman"/>
          <w:sz w:val="24"/>
          <w:szCs w:val="24"/>
        </w:rPr>
        <w:t xml:space="preserve">as empresas se apropriam do </w:t>
      </w:r>
      <w:r>
        <w:rPr>
          <w:rFonts w:ascii="Times New Roman" w:hAnsi="Times New Roman"/>
          <w:i/>
          <w:sz w:val="24"/>
          <w:szCs w:val="24"/>
        </w:rPr>
        <w:t>know-how</w:t>
      </w:r>
      <w:r>
        <w:rPr>
          <w:rFonts w:ascii="Times New Roman" w:hAnsi="Times New Roman"/>
          <w:sz w:val="24"/>
          <w:szCs w:val="24"/>
        </w:rPr>
        <w:t xml:space="preserve"> </w:t>
      </w:r>
      <w:r w:rsidR="00015BCD">
        <w:rPr>
          <w:rFonts w:ascii="Times New Roman" w:hAnsi="Times New Roman"/>
          <w:sz w:val="24"/>
          <w:szCs w:val="24"/>
        </w:rPr>
        <w:t xml:space="preserve">desses </w:t>
      </w:r>
      <w:r>
        <w:rPr>
          <w:rFonts w:ascii="Times New Roman" w:hAnsi="Times New Roman"/>
          <w:sz w:val="24"/>
          <w:szCs w:val="24"/>
        </w:rPr>
        <w:t>indivíduos (FELDMAN, 1999).</w:t>
      </w:r>
      <w:r w:rsidR="00A75196">
        <w:rPr>
          <w:rFonts w:ascii="Times New Roman" w:hAnsi="Times New Roman"/>
          <w:sz w:val="24"/>
          <w:szCs w:val="24"/>
        </w:rPr>
        <w:t xml:space="preserve"> Assim, a migração de capital humano é um meio de transferência de conhecimento entre regiões (FAGGIAN </w:t>
      </w:r>
      <w:r w:rsidR="00A75196">
        <w:rPr>
          <w:rFonts w:ascii="Times New Roman" w:hAnsi="Times New Roman"/>
          <w:i/>
          <w:sz w:val="24"/>
          <w:szCs w:val="24"/>
        </w:rPr>
        <w:t>et al</w:t>
      </w:r>
      <w:r w:rsidR="00A75196">
        <w:rPr>
          <w:rFonts w:ascii="Times New Roman" w:hAnsi="Times New Roman"/>
          <w:sz w:val="24"/>
          <w:szCs w:val="24"/>
        </w:rPr>
        <w:t>., 2007).</w:t>
      </w:r>
    </w:p>
    <w:p w14:paraId="6C5C264E" w14:textId="787E8EE3" w:rsidR="006E2AC2" w:rsidRPr="00A75196" w:rsidRDefault="006E2AC2" w:rsidP="008A26E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AC2">
        <w:rPr>
          <w:rFonts w:ascii="Times New Roman" w:hAnsi="Times New Roman"/>
          <w:sz w:val="24"/>
          <w:szCs w:val="24"/>
        </w:rPr>
        <w:t>Estudos regionais recentes analisam a composição dos fluxos de migração, com destaque para a migração de mão de obra qualificada (BOEKER, 1997; FAGGIAN e M</w:t>
      </w:r>
      <w:r>
        <w:rPr>
          <w:rFonts w:ascii="Times New Roman" w:hAnsi="Times New Roman"/>
          <w:sz w:val="24"/>
          <w:szCs w:val="24"/>
        </w:rPr>
        <w:t>C</w:t>
      </w:r>
      <w:r w:rsidRPr="006E2AC2">
        <w:rPr>
          <w:rFonts w:ascii="Times New Roman" w:hAnsi="Times New Roman"/>
          <w:sz w:val="24"/>
          <w:szCs w:val="24"/>
        </w:rPr>
        <w:t>CANN, 2009; FRATESI, 2014). Apesar de as motivações para migrar serem quase as mesmas para a mão de obra qualificada e para a não qualificada</w:t>
      </w:r>
      <w:r w:rsidR="00015BCD">
        <w:rPr>
          <w:rFonts w:ascii="Times New Roman" w:hAnsi="Times New Roman"/>
          <w:sz w:val="24"/>
          <w:szCs w:val="24"/>
        </w:rPr>
        <w:t>,</w:t>
      </w:r>
      <w:r w:rsidRPr="006E2AC2">
        <w:rPr>
          <w:rFonts w:ascii="Times New Roman" w:hAnsi="Times New Roman"/>
          <w:sz w:val="24"/>
          <w:szCs w:val="24"/>
        </w:rPr>
        <w:t xml:space="preserve"> há um enfoque na migração de trabalhadores qualificados pelos seguintes motivos: 1) indivíduos com grau de educação maior são capazes de realizar atividades mais complexas</w:t>
      </w:r>
      <w:r w:rsidR="00015BCD">
        <w:rPr>
          <w:rFonts w:ascii="Times New Roman" w:hAnsi="Times New Roman"/>
          <w:sz w:val="24"/>
          <w:szCs w:val="24"/>
        </w:rPr>
        <w:t xml:space="preserve"> sendo considerados mais produtivos no mercado de trabalho</w:t>
      </w:r>
      <w:r w:rsidRPr="006E2AC2">
        <w:rPr>
          <w:rFonts w:ascii="Times New Roman" w:hAnsi="Times New Roman"/>
          <w:sz w:val="24"/>
          <w:szCs w:val="24"/>
        </w:rPr>
        <w:t xml:space="preserve">; 2) esse tipo de mão de obra é mais propensa a migrar de regiões, pois consegue aproveitar de forma mais eficaz as oportunidades proporcionadas </w:t>
      </w:r>
      <w:r w:rsidR="00015BCD">
        <w:rPr>
          <w:rFonts w:ascii="Times New Roman" w:hAnsi="Times New Roman"/>
          <w:sz w:val="24"/>
          <w:szCs w:val="24"/>
        </w:rPr>
        <w:t>pelo destino, além de obterem mais informações a respeito destes, o que diminui o risco associado a mudança de região</w:t>
      </w:r>
      <w:r w:rsidRPr="006E2AC2">
        <w:rPr>
          <w:rFonts w:ascii="Times New Roman" w:hAnsi="Times New Roman"/>
          <w:sz w:val="24"/>
          <w:szCs w:val="24"/>
        </w:rPr>
        <w:t>; 3) devido à sua especialização, são mais difíceis de serem substituídos, sendo menos vulneráveis à perda de emprego (FRATESI, 2014); 4) a mão de obra qualificada possui maior impacto sobre o crescimento econômico, à medida em que detêm um conhecimento maior e</w:t>
      </w:r>
      <w:r w:rsidR="00A2777D">
        <w:rPr>
          <w:rFonts w:ascii="Times New Roman" w:hAnsi="Times New Roman"/>
          <w:sz w:val="24"/>
          <w:szCs w:val="24"/>
        </w:rPr>
        <w:t>,</w:t>
      </w:r>
      <w:r w:rsidRPr="006E2AC2">
        <w:rPr>
          <w:rFonts w:ascii="Times New Roman" w:hAnsi="Times New Roman"/>
          <w:sz w:val="24"/>
          <w:szCs w:val="24"/>
        </w:rPr>
        <w:t xml:space="preserve"> assim, geram inovações que aumentam </w:t>
      </w:r>
      <w:r w:rsidR="00E71832">
        <w:rPr>
          <w:rFonts w:ascii="Times New Roman" w:hAnsi="Times New Roman"/>
          <w:sz w:val="24"/>
          <w:szCs w:val="24"/>
        </w:rPr>
        <w:t xml:space="preserve">a </w:t>
      </w:r>
      <w:r w:rsidRPr="006E2AC2">
        <w:rPr>
          <w:rFonts w:ascii="Times New Roman" w:hAnsi="Times New Roman"/>
          <w:sz w:val="24"/>
          <w:szCs w:val="24"/>
        </w:rPr>
        <w:t xml:space="preserve">produtividade e </w:t>
      </w:r>
      <w:r w:rsidR="00E71832">
        <w:rPr>
          <w:rFonts w:ascii="Times New Roman" w:hAnsi="Times New Roman"/>
          <w:sz w:val="24"/>
          <w:szCs w:val="24"/>
        </w:rPr>
        <w:t xml:space="preserve">o </w:t>
      </w:r>
      <w:r w:rsidRPr="006E2AC2">
        <w:rPr>
          <w:rFonts w:ascii="Times New Roman" w:hAnsi="Times New Roman"/>
          <w:sz w:val="24"/>
          <w:szCs w:val="24"/>
        </w:rPr>
        <w:t>lucro (LUCAS, 1988).</w:t>
      </w:r>
    </w:p>
    <w:p w14:paraId="26367327" w14:textId="73B641CC" w:rsidR="00AD2979" w:rsidRPr="00D9794A" w:rsidRDefault="00E92449" w:rsidP="006B1DD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Dessa forma, a</w:t>
      </w:r>
      <w:r w:rsidR="00BE23D2">
        <w:rPr>
          <w:rFonts w:ascii="Times New Roman" w:hAnsi="Times New Roman"/>
          <w:color w:val="000000"/>
          <w:sz w:val="24"/>
          <w:szCs w:val="24"/>
        </w:rPr>
        <w:t xml:space="preserve"> entrada de </w:t>
      </w:r>
      <w:r w:rsidR="0039638E">
        <w:rPr>
          <w:rFonts w:ascii="Times New Roman" w:hAnsi="Times New Roman"/>
          <w:color w:val="000000"/>
          <w:sz w:val="24"/>
          <w:szCs w:val="24"/>
        </w:rPr>
        <w:t xml:space="preserve">indivíduos qualificados </w:t>
      </w:r>
      <w:r w:rsidR="00BE23D2">
        <w:rPr>
          <w:rFonts w:ascii="Times New Roman" w:hAnsi="Times New Roman"/>
          <w:color w:val="000000"/>
          <w:sz w:val="24"/>
          <w:szCs w:val="24"/>
        </w:rPr>
        <w:t xml:space="preserve">em regiões é uma das formas de proporcionar crescimento regional, sendo capaz de gerar </w:t>
      </w:r>
      <w:r w:rsidR="00015BCD">
        <w:rPr>
          <w:rFonts w:ascii="Times New Roman" w:hAnsi="Times New Roman"/>
          <w:color w:val="000000"/>
          <w:sz w:val="24"/>
          <w:szCs w:val="24"/>
        </w:rPr>
        <w:t xml:space="preserve">inclusive </w:t>
      </w:r>
      <w:r w:rsidR="00BE23D2">
        <w:rPr>
          <w:rFonts w:ascii="Times New Roman" w:hAnsi="Times New Roman"/>
          <w:color w:val="000000"/>
          <w:sz w:val="24"/>
          <w:szCs w:val="24"/>
        </w:rPr>
        <w:t xml:space="preserve">mudanças estruturais na economia (BOSCHMA </w:t>
      </w:r>
      <w:r w:rsidR="00BE23D2">
        <w:rPr>
          <w:rFonts w:ascii="Times New Roman" w:hAnsi="Times New Roman"/>
          <w:i/>
          <w:color w:val="000000"/>
          <w:sz w:val="24"/>
          <w:szCs w:val="24"/>
        </w:rPr>
        <w:t>et al</w:t>
      </w:r>
      <w:r w:rsidR="00BE23D2">
        <w:rPr>
          <w:rFonts w:ascii="Times New Roman" w:hAnsi="Times New Roman"/>
          <w:color w:val="000000"/>
          <w:sz w:val="24"/>
          <w:szCs w:val="24"/>
        </w:rPr>
        <w:t>.,</w:t>
      </w:r>
      <w:r w:rsidR="004519E2">
        <w:rPr>
          <w:rFonts w:ascii="Times New Roman" w:hAnsi="Times New Roman"/>
          <w:color w:val="000000"/>
          <w:sz w:val="24"/>
          <w:szCs w:val="24"/>
        </w:rPr>
        <w:t xml:space="preserve"> 2009). Por meio da entrada de mão de obra, a região </w:t>
      </w:r>
      <w:r w:rsidR="001458E4">
        <w:rPr>
          <w:rFonts w:ascii="Times New Roman" w:hAnsi="Times New Roman"/>
          <w:color w:val="000000"/>
          <w:sz w:val="24"/>
          <w:szCs w:val="24"/>
        </w:rPr>
        <w:t>de destino recebe um novo tipo de conhecimento que pode ser absorvido por ela e gerar melhorias na produtividade e no nível de emprego.</w:t>
      </w:r>
    </w:p>
    <w:p w14:paraId="11EC598A" w14:textId="63FC5F8A" w:rsidR="00AD2979" w:rsidRPr="00D9794A" w:rsidRDefault="00AD2979" w:rsidP="008A26E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94A">
        <w:rPr>
          <w:rFonts w:ascii="Times New Roman" w:hAnsi="Times New Roman"/>
          <w:sz w:val="24"/>
          <w:szCs w:val="24"/>
        </w:rPr>
        <w:t xml:space="preserve">A região que recebe </w:t>
      </w:r>
      <w:r w:rsidR="00285B4C">
        <w:rPr>
          <w:rFonts w:ascii="Times New Roman" w:hAnsi="Times New Roman"/>
          <w:sz w:val="24"/>
          <w:szCs w:val="24"/>
        </w:rPr>
        <w:t>esses</w:t>
      </w:r>
      <w:r w:rsidR="00285B4C" w:rsidRPr="00D9794A">
        <w:rPr>
          <w:rFonts w:ascii="Times New Roman" w:hAnsi="Times New Roman"/>
          <w:sz w:val="24"/>
          <w:szCs w:val="24"/>
        </w:rPr>
        <w:t xml:space="preserve"> </w:t>
      </w:r>
      <w:r w:rsidRPr="00D9794A">
        <w:rPr>
          <w:rFonts w:ascii="Times New Roman" w:hAnsi="Times New Roman"/>
          <w:sz w:val="24"/>
          <w:szCs w:val="24"/>
        </w:rPr>
        <w:t xml:space="preserve">indivíduos </w:t>
      </w:r>
      <w:r w:rsidR="00E92449">
        <w:rPr>
          <w:rFonts w:ascii="Times New Roman" w:hAnsi="Times New Roman"/>
          <w:sz w:val="24"/>
          <w:szCs w:val="24"/>
        </w:rPr>
        <w:t xml:space="preserve">mais educados </w:t>
      </w:r>
      <w:r w:rsidRPr="00D9794A">
        <w:rPr>
          <w:rFonts w:ascii="Times New Roman" w:hAnsi="Times New Roman"/>
          <w:sz w:val="24"/>
          <w:szCs w:val="24"/>
        </w:rPr>
        <w:t>possui custo zero com sua qualificação, pois o gasto foi feito na região de origem</w:t>
      </w:r>
      <w:r w:rsidR="000225F4">
        <w:rPr>
          <w:rFonts w:ascii="Times New Roman" w:hAnsi="Times New Roman"/>
          <w:sz w:val="24"/>
          <w:szCs w:val="24"/>
        </w:rPr>
        <w:t xml:space="preserve">, fato que acaba motivando a elaboração de políticas públicas visando atrair </w:t>
      </w:r>
      <w:r w:rsidR="00285B4C">
        <w:rPr>
          <w:rFonts w:ascii="Times New Roman" w:hAnsi="Times New Roman"/>
          <w:sz w:val="24"/>
          <w:szCs w:val="24"/>
        </w:rPr>
        <w:t xml:space="preserve">essa </w:t>
      </w:r>
      <w:r w:rsidR="000225F4">
        <w:rPr>
          <w:rFonts w:ascii="Times New Roman" w:hAnsi="Times New Roman"/>
          <w:sz w:val="24"/>
          <w:szCs w:val="24"/>
        </w:rPr>
        <w:t xml:space="preserve">mão de obra </w:t>
      </w:r>
      <w:r w:rsidRPr="00D9794A">
        <w:rPr>
          <w:rFonts w:ascii="Times New Roman" w:hAnsi="Times New Roman"/>
          <w:sz w:val="24"/>
          <w:szCs w:val="24"/>
        </w:rPr>
        <w:t>(TRIPPL, 2013)</w:t>
      </w:r>
      <w:r w:rsidR="007849D5">
        <w:rPr>
          <w:rFonts w:ascii="Times New Roman" w:hAnsi="Times New Roman"/>
          <w:sz w:val="24"/>
          <w:szCs w:val="24"/>
        </w:rPr>
        <w:t>. Além disso</w:t>
      </w:r>
      <w:r w:rsidRPr="00D9794A">
        <w:rPr>
          <w:rFonts w:ascii="Times New Roman" w:hAnsi="Times New Roman"/>
          <w:sz w:val="24"/>
          <w:szCs w:val="24"/>
        </w:rPr>
        <w:t xml:space="preserve">, a aglomeração de mão de obra qualificada acaba gerando </w:t>
      </w:r>
      <w:r w:rsidR="00285B4C">
        <w:rPr>
          <w:rFonts w:ascii="Times New Roman" w:hAnsi="Times New Roman"/>
          <w:sz w:val="24"/>
          <w:szCs w:val="24"/>
        </w:rPr>
        <w:t xml:space="preserve">o </w:t>
      </w:r>
      <w:r w:rsidRPr="00D9794A">
        <w:rPr>
          <w:rFonts w:ascii="Times New Roman" w:hAnsi="Times New Roman"/>
          <w:sz w:val="24"/>
          <w:szCs w:val="24"/>
        </w:rPr>
        <w:t xml:space="preserve">fenômeno </w:t>
      </w:r>
      <w:r w:rsidR="00285B4C">
        <w:rPr>
          <w:rFonts w:ascii="Times New Roman" w:hAnsi="Times New Roman"/>
          <w:sz w:val="24"/>
          <w:szCs w:val="24"/>
        </w:rPr>
        <w:t>chamado</w:t>
      </w:r>
      <w:r w:rsidR="00285B4C" w:rsidRPr="00D97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794A">
        <w:rPr>
          <w:rFonts w:ascii="Times New Roman" w:hAnsi="Times New Roman"/>
          <w:i/>
          <w:sz w:val="24"/>
          <w:szCs w:val="24"/>
        </w:rPr>
        <w:t>labour</w:t>
      </w:r>
      <w:proofErr w:type="spellEnd"/>
      <w:r w:rsidRPr="00D9794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9794A">
        <w:rPr>
          <w:rFonts w:ascii="Times New Roman" w:hAnsi="Times New Roman"/>
          <w:i/>
          <w:sz w:val="24"/>
          <w:szCs w:val="24"/>
        </w:rPr>
        <w:t>pooling</w:t>
      </w:r>
      <w:proofErr w:type="spellEnd"/>
      <w:r w:rsidRPr="00D9794A">
        <w:rPr>
          <w:rFonts w:ascii="Times New Roman" w:hAnsi="Times New Roman"/>
          <w:sz w:val="24"/>
          <w:szCs w:val="24"/>
        </w:rPr>
        <w:t xml:space="preserve"> de indivíduos qualificados (SAXENIAN, 1994; FRATESI e PERCOCO, 201</w:t>
      </w:r>
      <w:r w:rsidR="00FA5DDE">
        <w:rPr>
          <w:rFonts w:ascii="Times New Roman" w:hAnsi="Times New Roman"/>
          <w:sz w:val="24"/>
          <w:szCs w:val="24"/>
        </w:rPr>
        <w:t>4</w:t>
      </w:r>
      <w:r w:rsidRPr="00D9794A">
        <w:rPr>
          <w:rFonts w:ascii="Times New Roman" w:hAnsi="Times New Roman"/>
          <w:sz w:val="24"/>
          <w:szCs w:val="24"/>
        </w:rPr>
        <w:t>)</w:t>
      </w:r>
      <w:r w:rsidR="007849D5">
        <w:rPr>
          <w:rFonts w:ascii="Times New Roman" w:hAnsi="Times New Roman"/>
          <w:sz w:val="24"/>
          <w:szCs w:val="24"/>
        </w:rPr>
        <w:t>,</w:t>
      </w:r>
      <w:r w:rsidRPr="00D9794A">
        <w:rPr>
          <w:rFonts w:ascii="Times New Roman" w:hAnsi="Times New Roman"/>
          <w:sz w:val="24"/>
          <w:szCs w:val="24"/>
        </w:rPr>
        <w:t xml:space="preserve"> ou seja</w:t>
      </w:r>
      <w:r w:rsidR="007849D5">
        <w:rPr>
          <w:rFonts w:ascii="Times New Roman" w:hAnsi="Times New Roman"/>
          <w:sz w:val="24"/>
          <w:szCs w:val="24"/>
        </w:rPr>
        <w:t>,</w:t>
      </w:r>
      <w:r w:rsidRPr="00D9794A">
        <w:rPr>
          <w:rFonts w:ascii="Times New Roman" w:hAnsi="Times New Roman"/>
          <w:sz w:val="24"/>
          <w:szCs w:val="24"/>
        </w:rPr>
        <w:t xml:space="preserve"> a aglomeração de indivíduos qualificados acaba atraindo mais indivíduos qualificados</w:t>
      </w:r>
      <w:r w:rsidR="007849D5">
        <w:rPr>
          <w:rFonts w:ascii="Times New Roman" w:hAnsi="Times New Roman"/>
          <w:sz w:val="24"/>
          <w:szCs w:val="24"/>
        </w:rPr>
        <w:t>,</w:t>
      </w:r>
      <w:r w:rsidRPr="00D9794A">
        <w:rPr>
          <w:rFonts w:ascii="Times New Roman" w:hAnsi="Times New Roman"/>
          <w:sz w:val="24"/>
          <w:szCs w:val="24"/>
        </w:rPr>
        <w:t xml:space="preserve"> beneficiando as empresas localizadas na região. </w:t>
      </w:r>
    </w:p>
    <w:p w14:paraId="7AA1844B" w14:textId="0A3A0B0A" w:rsidR="00E71832" w:rsidRDefault="00AD2979" w:rsidP="008A26E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794A">
        <w:rPr>
          <w:rFonts w:ascii="Times New Roman" w:hAnsi="Times New Roman"/>
          <w:sz w:val="24"/>
          <w:szCs w:val="24"/>
        </w:rPr>
        <w:t>Boschma</w:t>
      </w:r>
      <w:proofErr w:type="spellEnd"/>
      <w:r w:rsidRPr="00D9794A">
        <w:rPr>
          <w:rFonts w:ascii="Times New Roman" w:hAnsi="Times New Roman"/>
          <w:sz w:val="24"/>
          <w:szCs w:val="24"/>
        </w:rPr>
        <w:t xml:space="preserve"> </w:t>
      </w:r>
      <w:r w:rsidRPr="00D9794A">
        <w:rPr>
          <w:rFonts w:ascii="Times New Roman" w:hAnsi="Times New Roman"/>
          <w:i/>
          <w:sz w:val="24"/>
          <w:szCs w:val="24"/>
        </w:rPr>
        <w:t xml:space="preserve">et </w:t>
      </w:r>
      <w:r w:rsidRPr="00DD1EB6">
        <w:rPr>
          <w:rFonts w:ascii="Times New Roman" w:hAnsi="Times New Roman"/>
          <w:i/>
          <w:sz w:val="24"/>
          <w:szCs w:val="24"/>
        </w:rPr>
        <w:t>al</w:t>
      </w:r>
      <w:r w:rsidRPr="00D9794A">
        <w:rPr>
          <w:rFonts w:ascii="Times New Roman" w:hAnsi="Times New Roman"/>
          <w:sz w:val="24"/>
          <w:szCs w:val="24"/>
        </w:rPr>
        <w:t xml:space="preserve">. (2009) argumentam que a mobilidade de trabalhadores possibilita mudanças estruturais na economia, </w:t>
      </w:r>
      <w:r w:rsidR="007849D5">
        <w:rPr>
          <w:rFonts w:ascii="Times New Roman" w:hAnsi="Times New Roman"/>
          <w:sz w:val="24"/>
          <w:szCs w:val="24"/>
        </w:rPr>
        <w:t xml:space="preserve">sendo </w:t>
      </w:r>
      <w:r w:rsidRPr="00D9794A">
        <w:rPr>
          <w:rFonts w:ascii="Times New Roman" w:hAnsi="Times New Roman"/>
          <w:sz w:val="24"/>
          <w:szCs w:val="24"/>
        </w:rPr>
        <w:t xml:space="preserve">fator decisivo para o desenvolvimento de longo prazo. </w:t>
      </w:r>
      <w:r w:rsidR="00E71832" w:rsidRPr="00D9794A">
        <w:rPr>
          <w:rFonts w:ascii="Times New Roman" w:hAnsi="Times New Roman"/>
          <w:sz w:val="24"/>
          <w:szCs w:val="24"/>
        </w:rPr>
        <w:t xml:space="preserve">No âmbito setorial, </w:t>
      </w:r>
      <w:r w:rsidR="00E71832">
        <w:rPr>
          <w:rFonts w:ascii="Times New Roman" w:hAnsi="Times New Roman"/>
          <w:sz w:val="24"/>
          <w:szCs w:val="24"/>
        </w:rPr>
        <w:t>o</w:t>
      </w:r>
      <w:r w:rsidRPr="00D9794A">
        <w:rPr>
          <w:rFonts w:ascii="Times New Roman" w:hAnsi="Times New Roman"/>
          <w:sz w:val="24"/>
          <w:szCs w:val="24"/>
        </w:rPr>
        <w:t xml:space="preserve"> argumento desses autores é de que a economia precisa de mercados de trabalho flexíveis para que trabalhadores migrem de setores em decadência para outros setores</w:t>
      </w:r>
      <w:r w:rsidR="00E71832">
        <w:rPr>
          <w:rFonts w:ascii="Times New Roman" w:hAnsi="Times New Roman"/>
          <w:sz w:val="24"/>
          <w:szCs w:val="24"/>
        </w:rPr>
        <w:t xml:space="preserve"> mais dinâmicos</w:t>
      </w:r>
      <w:r w:rsidRPr="00D9794A">
        <w:rPr>
          <w:rFonts w:ascii="Times New Roman" w:hAnsi="Times New Roman"/>
          <w:sz w:val="24"/>
          <w:szCs w:val="24"/>
        </w:rPr>
        <w:t>.</w:t>
      </w:r>
      <w:r w:rsidR="00E71832">
        <w:rPr>
          <w:rFonts w:ascii="Times New Roman" w:hAnsi="Times New Roman"/>
          <w:sz w:val="24"/>
          <w:szCs w:val="24"/>
        </w:rPr>
        <w:t xml:space="preserve"> </w:t>
      </w:r>
      <w:r w:rsidRPr="00D9794A">
        <w:rPr>
          <w:rFonts w:ascii="Times New Roman" w:hAnsi="Times New Roman"/>
          <w:sz w:val="24"/>
          <w:szCs w:val="24"/>
        </w:rPr>
        <w:t xml:space="preserve">Jacobs (1969) e </w:t>
      </w:r>
      <w:proofErr w:type="spellStart"/>
      <w:r w:rsidRPr="00D9794A">
        <w:rPr>
          <w:rFonts w:ascii="Times New Roman" w:hAnsi="Times New Roman"/>
          <w:sz w:val="24"/>
          <w:szCs w:val="24"/>
        </w:rPr>
        <w:t>Glaeser</w:t>
      </w:r>
      <w:proofErr w:type="spellEnd"/>
      <w:r w:rsidRPr="00D9794A">
        <w:rPr>
          <w:rFonts w:ascii="Times New Roman" w:hAnsi="Times New Roman"/>
          <w:sz w:val="24"/>
          <w:szCs w:val="24"/>
        </w:rPr>
        <w:t xml:space="preserve"> </w:t>
      </w:r>
      <w:r w:rsidRPr="00D9794A">
        <w:rPr>
          <w:rFonts w:ascii="Times New Roman" w:hAnsi="Times New Roman"/>
          <w:i/>
          <w:sz w:val="24"/>
          <w:szCs w:val="24"/>
        </w:rPr>
        <w:t>et al.</w:t>
      </w:r>
      <w:r w:rsidRPr="00D9794A">
        <w:rPr>
          <w:rFonts w:ascii="Times New Roman" w:hAnsi="Times New Roman"/>
          <w:sz w:val="24"/>
          <w:szCs w:val="24"/>
        </w:rPr>
        <w:t xml:space="preserve"> (1992) destacam a importância da </w:t>
      </w:r>
      <w:r w:rsidR="007608DC">
        <w:rPr>
          <w:rFonts w:ascii="Times New Roman" w:hAnsi="Times New Roman"/>
          <w:sz w:val="24"/>
          <w:szCs w:val="24"/>
        </w:rPr>
        <w:t>diversidade</w:t>
      </w:r>
      <w:r w:rsidR="007608DC" w:rsidRPr="00D9794A">
        <w:rPr>
          <w:rFonts w:ascii="Times New Roman" w:hAnsi="Times New Roman"/>
          <w:sz w:val="24"/>
          <w:szCs w:val="24"/>
        </w:rPr>
        <w:t xml:space="preserve"> </w:t>
      </w:r>
      <w:r w:rsidR="00285B4C">
        <w:rPr>
          <w:rFonts w:ascii="Times New Roman" w:hAnsi="Times New Roman"/>
          <w:sz w:val="24"/>
          <w:szCs w:val="24"/>
        </w:rPr>
        <w:t xml:space="preserve">de conhecimento </w:t>
      </w:r>
      <w:r w:rsidRPr="00D9794A">
        <w:rPr>
          <w:rFonts w:ascii="Times New Roman" w:hAnsi="Times New Roman"/>
          <w:sz w:val="24"/>
          <w:szCs w:val="24"/>
        </w:rPr>
        <w:t>para impulsionar o crescimento</w:t>
      </w:r>
      <w:r w:rsidR="00E71832">
        <w:rPr>
          <w:rFonts w:ascii="Times New Roman" w:hAnsi="Times New Roman"/>
          <w:sz w:val="24"/>
          <w:szCs w:val="24"/>
        </w:rPr>
        <w:t>,</w:t>
      </w:r>
      <w:r w:rsidR="000C2BC8">
        <w:rPr>
          <w:rFonts w:ascii="Times New Roman" w:hAnsi="Times New Roman"/>
          <w:sz w:val="24"/>
          <w:szCs w:val="24"/>
        </w:rPr>
        <w:t xml:space="preserve"> estando </w:t>
      </w:r>
      <w:r w:rsidR="00E71832">
        <w:rPr>
          <w:rFonts w:ascii="Times New Roman" w:hAnsi="Times New Roman"/>
          <w:sz w:val="24"/>
          <w:szCs w:val="24"/>
        </w:rPr>
        <w:t xml:space="preserve">este </w:t>
      </w:r>
      <w:r w:rsidRPr="00D9794A">
        <w:rPr>
          <w:rFonts w:ascii="Times New Roman" w:hAnsi="Times New Roman"/>
          <w:sz w:val="24"/>
          <w:szCs w:val="24"/>
        </w:rPr>
        <w:t>relacionad</w:t>
      </w:r>
      <w:r w:rsidR="00E71832">
        <w:rPr>
          <w:rFonts w:ascii="Times New Roman" w:hAnsi="Times New Roman"/>
          <w:sz w:val="24"/>
          <w:szCs w:val="24"/>
        </w:rPr>
        <w:t>o</w:t>
      </w:r>
      <w:r w:rsidRPr="00D9794A">
        <w:rPr>
          <w:rFonts w:ascii="Times New Roman" w:hAnsi="Times New Roman"/>
          <w:sz w:val="24"/>
          <w:szCs w:val="24"/>
        </w:rPr>
        <w:t xml:space="preserve"> a composição dos setores das firmas de determinada localidade (FRENKEN </w:t>
      </w:r>
      <w:r w:rsidRPr="00D9794A">
        <w:rPr>
          <w:rFonts w:ascii="Times New Roman" w:hAnsi="Times New Roman"/>
          <w:i/>
          <w:sz w:val="24"/>
          <w:szCs w:val="24"/>
        </w:rPr>
        <w:t>et al</w:t>
      </w:r>
      <w:r w:rsidRPr="00D9794A">
        <w:rPr>
          <w:rFonts w:ascii="Times New Roman" w:hAnsi="Times New Roman"/>
          <w:sz w:val="24"/>
          <w:szCs w:val="24"/>
        </w:rPr>
        <w:t>., 2007)</w:t>
      </w:r>
      <w:r w:rsidR="00E71832">
        <w:rPr>
          <w:rFonts w:ascii="Times New Roman" w:hAnsi="Times New Roman"/>
          <w:sz w:val="24"/>
          <w:szCs w:val="24"/>
        </w:rPr>
        <w:t>.</w:t>
      </w:r>
    </w:p>
    <w:p w14:paraId="64CE4F5D" w14:textId="099FDA6D" w:rsidR="00AD2979" w:rsidRPr="00D9794A" w:rsidRDefault="00E71832" w:rsidP="008A26E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Neste contexto, </w:t>
      </w:r>
      <w:r w:rsidR="00AD2979" w:rsidRPr="00D9794A">
        <w:rPr>
          <w:rFonts w:ascii="Times New Roman" w:hAnsi="Times New Roman"/>
          <w:sz w:val="24"/>
          <w:szCs w:val="24"/>
        </w:rPr>
        <w:t xml:space="preserve">as regiões </w:t>
      </w:r>
      <w:r>
        <w:rPr>
          <w:rFonts w:ascii="Times New Roman" w:hAnsi="Times New Roman"/>
          <w:sz w:val="24"/>
          <w:szCs w:val="24"/>
        </w:rPr>
        <w:t xml:space="preserve">podem </w:t>
      </w:r>
      <w:r w:rsidR="00AD2979" w:rsidRPr="00D9794A">
        <w:rPr>
          <w:rFonts w:ascii="Times New Roman" w:hAnsi="Times New Roman"/>
          <w:sz w:val="24"/>
          <w:szCs w:val="24"/>
        </w:rPr>
        <w:t xml:space="preserve">se especializar em determinados setores ou se diversificar. </w:t>
      </w:r>
      <w:r w:rsidR="00285B4C">
        <w:rPr>
          <w:rFonts w:ascii="Times New Roman" w:hAnsi="Times New Roman"/>
          <w:sz w:val="24"/>
          <w:szCs w:val="24"/>
        </w:rPr>
        <w:t>A especialização faz com que</w:t>
      </w:r>
      <w:r w:rsidR="00AD2979" w:rsidRPr="00D9794A">
        <w:rPr>
          <w:rFonts w:ascii="Times New Roman" w:hAnsi="Times New Roman"/>
          <w:sz w:val="24"/>
          <w:szCs w:val="24"/>
        </w:rPr>
        <w:t xml:space="preserve"> as regiões apresentem crescimento econômico devido à similaridade tecnológica e à mão de obra especializada</w:t>
      </w:r>
      <w:r w:rsidR="00200DA0">
        <w:rPr>
          <w:rFonts w:ascii="Times New Roman" w:hAnsi="Times New Roman"/>
          <w:sz w:val="24"/>
          <w:szCs w:val="24"/>
        </w:rPr>
        <w:t>,</w:t>
      </w:r>
      <w:r w:rsidR="00AD2979" w:rsidRPr="00D9794A">
        <w:rPr>
          <w:rFonts w:ascii="Times New Roman" w:hAnsi="Times New Roman"/>
          <w:sz w:val="24"/>
          <w:szCs w:val="24"/>
        </w:rPr>
        <w:t xml:space="preserve"> sendo assim, capazes de intensificar a atividade inovadora (MARSHALL, 1920; SAXEXIAN, 1994; JAFFE </w:t>
      </w:r>
      <w:r w:rsidR="00AD2979" w:rsidRPr="00D9794A">
        <w:rPr>
          <w:rFonts w:ascii="Times New Roman" w:hAnsi="Times New Roman"/>
          <w:i/>
          <w:sz w:val="24"/>
          <w:szCs w:val="24"/>
        </w:rPr>
        <w:t>et al</w:t>
      </w:r>
      <w:r w:rsidR="00AD2979" w:rsidRPr="00D9794A">
        <w:rPr>
          <w:rFonts w:ascii="Times New Roman" w:hAnsi="Times New Roman"/>
          <w:sz w:val="24"/>
          <w:szCs w:val="24"/>
        </w:rPr>
        <w:t xml:space="preserve">., 1993). </w:t>
      </w:r>
      <w:r w:rsidR="00862268">
        <w:rPr>
          <w:rFonts w:ascii="Times New Roman" w:hAnsi="Times New Roman"/>
          <w:sz w:val="24"/>
          <w:szCs w:val="24"/>
        </w:rPr>
        <w:t xml:space="preserve">Já </w:t>
      </w:r>
      <w:r w:rsidR="00AD2979" w:rsidRPr="00D9794A">
        <w:rPr>
          <w:rFonts w:ascii="Times New Roman" w:hAnsi="Times New Roman"/>
          <w:sz w:val="24"/>
          <w:szCs w:val="24"/>
        </w:rPr>
        <w:t>a diversificação</w:t>
      </w:r>
      <w:r>
        <w:rPr>
          <w:rFonts w:ascii="Times New Roman" w:hAnsi="Times New Roman"/>
          <w:sz w:val="24"/>
          <w:szCs w:val="24"/>
        </w:rPr>
        <w:t>,</w:t>
      </w:r>
      <w:r w:rsidR="00AD2979" w:rsidRPr="00D979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proporcionaria a</w:t>
      </w:r>
      <w:r w:rsidR="00AD2979" w:rsidRPr="00D9794A">
        <w:rPr>
          <w:rFonts w:ascii="Times New Roman" w:hAnsi="Times New Roman"/>
          <w:sz w:val="24"/>
          <w:szCs w:val="24"/>
        </w:rPr>
        <w:t xml:space="preserve"> troca de informação entre os diversos setores da economia, </w:t>
      </w:r>
      <w:r w:rsidR="00862268">
        <w:rPr>
          <w:rFonts w:ascii="Times New Roman" w:hAnsi="Times New Roman"/>
          <w:sz w:val="24"/>
          <w:szCs w:val="24"/>
        </w:rPr>
        <w:t xml:space="preserve">o que impulsiona </w:t>
      </w:r>
      <w:r w:rsidR="00DB25EC" w:rsidRPr="00D9794A">
        <w:rPr>
          <w:rFonts w:ascii="Times New Roman" w:hAnsi="Times New Roman"/>
          <w:sz w:val="24"/>
          <w:szCs w:val="24"/>
        </w:rPr>
        <w:t>inovações</w:t>
      </w:r>
      <w:r w:rsidR="00AD2979" w:rsidRPr="00D9794A">
        <w:rPr>
          <w:rFonts w:ascii="Times New Roman" w:hAnsi="Times New Roman"/>
          <w:sz w:val="24"/>
          <w:szCs w:val="24"/>
        </w:rPr>
        <w:t xml:space="preserve"> radicais</w:t>
      </w:r>
      <w:r>
        <w:rPr>
          <w:rFonts w:ascii="Times New Roman" w:hAnsi="Times New Roman"/>
          <w:sz w:val="24"/>
          <w:szCs w:val="24"/>
        </w:rPr>
        <w:t>,</w:t>
      </w:r>
      <w:r w:rsidR="00AD2979" w:rsidRPr="00D9794A">
        <w:rPr>
          <w:rFonts w:ascii="Times New Roman" w:hAnsi="Times New Roman"/>
          <w:sz w:val="24"/>
          <w:szCs w:val="24"/>
        </w:rPr>
        <w:t xml:space="preserve"> criando assim novos empregos e novos mercados (JACOBS, 1969; FELDMAN e AUDRETSCH, 1999). </w:t>
      </w:r>
      <w:proofErr w:type="spellStart"/>
      <w:r w:rsidR="00AD2979" w:rsidRPr="00D9794A">
        <w:rPr>
          <w:rFonts w:ascii="Times New Roman" w:hAnsi="Times New Roman"/>
          <w:sz w:val="24"/>
          <w:szCs w:val="24"/>
        </w:rPr>
        <w:t>Attaran</w:t>
      </w:r>
      <w:proofErr w:type="spellEnd"/>
      <w:r w:rsidR="00AD2979" w:rsidRPr="00D9794A">
        <w:rPr>
          <w:rFonts w:ascii="Times New Roman" w:hAnsi="Times New Roman"/>
          <w:sz w:val="24"/>
          <w:szCs w:val="24"/>
        </w:rPr>
        <w:t xml:space="preserve"> (1986) e </w:t>
      </w:r>
      <w:proofErr w:type="spellStart"/>
      <w:r w:rsidR="00AD2979" w:rsidRPr="00D9794A">
        <w:rPr>
          <w:rFonts w:ascii="Times New Roman" w:hAnsi="Times New Roman"/>
          <w:sz w:val="24"/>
          <w:szCs w:val="24"/>
        </w:rPr>
        <w:t>Haug</w:t>
      </w:r>
      <w:proofErr w:type="spellEnd"/>
      <w:r w:rsidR="00AD2979" w:rsidRPr="00D9794A">
        <w:rPr>
          <w:rFonts w:ascii="Times New Roman" w:hAnsi="Times New Roman"/>
          <w:sz w:val="24"/>
          <w:szCs w:val="24"/>
        </w:rPr>
        <w:t xml:space="preserve"> (2004) argumentam </w:t>
      </w:r>
      <w:r w:rsidR="00862268">
        <w:rPr>
          <w:rFonts w:ascii="Times New Roman" w:hAnsi="Times New Roman"/>
          <w:sz w:val="24"/>
          <w:szCs w:val="24"/>
        </w:rPr>
        <w:t xml:space="preserve">ainda </w:t>
      </w:r>
      <w:r w:rsidR="00AD2979" w:rsidRPr="00D9794A">
        <w:rPr>
          <w:rFonts w:ascii="Times New Roman" w:hAnsi="Times New Roman"/>
          <w:sz w:val="24"/>
          <w:szCs w:val="24"/>
        </w:rPr>
        <w:t>que a variedade de setores em uma região pode atuar como uma estratégia de portfólio, protegendo os empregos no caso de choques de demanda.</w:t>
      </w:r>
    </w:p>
    <w:p w14:paraId="59C7937A" w14:textId="77777777" w:rsidR="00AD2979" w:rsidRPr="00D9794A" w:rsidRDefault="00AD2979" w:rsidP="008A26E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94A">
        <w:rPr>
          <w:rFonts w:ascii="Times New Roman" w:hAnsi="Times New Roman"/>
          <w:sz w:val="24"/>
          <w:szCs w:val="24"/>
        </w:rPr>
        <w:t xml:space="preserve">O conceito de </w:t>
      </w:r>
      <w:r w:rsidR="007608DC">
        <w:rPr>
          <w:rFonts w:ascii="Times New Roman" w:hAnsi="Times New Roman"/>
          <w:sz w:val="24"/>
          <w:szCs w:val="24"/>
        </w:rPr>
        <w:t>diversidade</w:t>
      </w:r>
      <w:r w:rsidR="007608DC" w:rsidRPr="00D9794A">
        <w:rPr>
          <w:rFonts w:ascii="Times New Roman" w:hAnsi="Times New Roman"/>
          <w:sz w:val="24"/>
          <w:szCs w:val="24"/>
        </w:rPr>
        <w:t xml:space="preserve"> </w:t>
      </w:r>
      <w:r w:rsidRPr="00D9794A">
        <w:rPr>
          <w:rFonts w:ascii="Times New Roman" w:hAnsi="Times New Roman"/>
          <w:sz w:val="24"/>
          <w:szCs w:val="24"/>
        </w:rPr>
        <w:t>e</w:t>
      </w:r>
      <w:r w:rsidR="004842F8">
        <w:rPr>
          <w:rFonts w:ascii="Times New Roman" w:hAnsi="Times New Roman"/>
          <w:sz w:val="24"/>
          <w:szCs w:val="24"/>
        </w:rPr>
        <w:t xml:space="preserve"> o de</w:t>
      </w:r>
      <w:r w:rsidRPr="00D9794A">
        <w:rPr>
          <w:rFonts w:ascii="Times New Roman" w:hAnsi="Times New Roman"/>
          <w:sz w:val="24"/>
          <w:szCs w:val="24"/>
        </w:rPr>
        <w:t xml:space="preserve"> economias da aglomeração estão intimamente ligados (FRENKEN </w:t>
      </w:r>
      <w:r w:rsidRPr="00D9794A">
        <w:rPr>
          <w:rFonts w:ascii="Times New Roman" w:hAnsi="Times New Roman"/>
          <w:i/>
          <w:sz w:val="24"/>
          <w:szCs w:val="24"/>
        </w:rPr>
        <w:t>et al</w:t>
      </w:r>
      <w:r w:rsidRPr="00D9794A">
        <w:rPr>
          <w:rFonts w:ascii="Times New Roman" w:hAnsi="Times New Roman"/>
          <w:sz w:val="24"/>
          <w:szCs w:val="24"/>
        </w:rPr>
        <w:t xml:space="preserve">., 2007; BOSCHMA e IMANARRINO, 2009; O`HUALLACHÁIN e LEE, 2011). A </w:t>
      </w:r>
      <w:proofErr w:type="spellStart"/>
      <w:r w:rsidRPr="00D9794A">
        <w:rPr>
          <w:rFonts w:ascii="Times New Roman" w:hAnsi="Times New Roman"/>
          <w:i/>
          <w:sz w:val="24"/>
          <w:szCs w:val="24"/>
        </w:rPr>
        <w:t>rationale</w:t>
      </w:r>
      <w:proofErr w:type="spellEnd"/>
      <w:r w:rsidRPr="00D9794A">
        <w:rPr>
          <w:rFonts w:ascii="Times New Roman" w:hAnsi="Times New Roman"/>
          <w:i/>
          <w:sz w:val="24"/>
          <w:szCs w:val="24"/>
        </w:rPr>
        <w:t xml:space="preserve"> </w:t>
      </w:r>
      <w:r w:rsidRPr="00D9794A">
        <w:rPr>
          <w:rFonts w:ascii="Times New Roman" w:hAnsi="Times New Roman"/>
          <w:sz w:val="24"/>
          <w:szCs w:val="24"/>
        </w:rPr>
        <w:t xml:space="preserve">das economias de aglomeração é que o agrupamento de firmas atuando nos mesmos setores ou em setores diversos acaba gerando benefícios para todas as firmas. Dessa forma, pode-se definir esse fenômeno como economias em que uma firma se beneficia de estar localizada no mesmo espaço geográfico que outras (FRENKEN </w:t>
      </w:r>
      <w:r w:rsidRPr="00D9794A">
        <w:rPr>
          <w:rFonts w:ascii="Times New Roman" w:hAnsi="Times New Roman"/>
          <w:i/>
          <w:sz w:val="24"/>
          <w:szCs w:val="24"/>
        </w:rPr>
        <w:t>et al</w:t>
      </w:r>
      <w:r w:rsidRPr="00D9794A">
        <w:rPr>
          <w:rFonts w:ascii="Times New Roman" w:hAnsi="Times New Roman"/>
          <w:sz w:val="24"/>
          <w:szCs w:val="24"/>
        </w:rPr>
        <w:t>., 2007). Krugman (1991) justifica a aglomeração devido à possibilidade de retornos crescentes na produção em âmbito espacial</w:t>
      </w:r>
      <w:r w:rsidR="00862268">
        <w:rPr>
          <w:rFonts w:ascii="Times New Roman" w:hAnsi="Times New Roman"/>
          <w:sz w:val="24"/>
          <w:szCs w:val="24"/>
        </w:rPr>
        <w:t>, enquanto</w:t>
      </w:r>
      <w:r w:rsidR="00C80978" w:rsidRPr="00D9794A">
        <w:rPr>
          <w:rFonts w:ascii="Times New Roman" w:hAnsi="Times New Roman"/>
          <w:sz w:val="24"/>
          <w:szCs w:val="24"/>
        </w:rPr>
        <w:t xml:space="preserve"> </w:t>
      </w:r>
      <w:r w:rsidRPr="00D9794A">
        <w:rPr>
          <w:rFonts w:ascii="Times New Roman" w:hAnsi="Times New Roman"/>
          <w:sz w:val="24"/>
          <w:szCs w:val="24"/>
        </w:rPr>
        <w:t xml:space="preserve">Feldman (1994) destaca que a localização de empresas diminui a incerteza inerente da atividade inovadora por meio da potencial troca de informações entre elas. </w:t>
      </w:r>
    </w:p>
    <w:p w14:paraId="17BBAF27" w14:textId="3049B52B" w:rsidR="004842F8" w:rsidRDefault="00AD2979" w:rsidP="00E7183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94A">
        <w:rPr>
          <w:rFonts w:ascii="Times New Roman" w:hAnsi="Times New Roman"/>
          <w:sz w:val="24"/>
          <w:szCs w:val="24"/>
        </w:rPr>
        <w:t xml:space="preserve">As economias de aglomeração proporcionam dois tipos de externalidades que são </w:t>
      </w:r>
      <w:r w:rsidR="004842F8">
        <w:rPr>
          <w:rFonts w:ascii="Times New Roman" w:hAnsi="Times New Roman"/>
          <w:sz w:val="24"/>
          <w:szCs w:val="24"/>
        </w:rPr>
        <w:t>consideradas</w:t>
      </w:r>
      <w:r w:rsidRPr="00D9794A">
        <w:rPr>
          <w:rFonts w:ascii="Times New Roman" w:hAnsi="Times New Roman"/>
          <w:sz w:val="24"/>
          <w:szCs w:val="24"/>
        </w:rPr>
        <w:t xml:space="preserve"> na literatura como fundamentais para o processo de criação e difusão de conhecimento</w:t>
      </w:r>
      <w:r w:rsidR="00E71832">
        <w:rPr>
          <w:rFonts w:ascii="Times New Roman" w:hAnsi="Times New Roman"/>
          <w:sz w:val="24"/>
          <w:szCs w:val="24"/>
        </w:rPr>
        <w:t>. S</w:t>
      </w:r>
      <w:r w:rsidRPr="00D9794A">
        <w:rPr>
          <w:rFonts w:ascii="Times New Roman" w:hAnsi="Times New Roman"/>
          <w:sz w:val="24"/>
          <w:szCs w:val="24"/>
        </w:rPr>
        <w:t xml:space="preserve">ão elas: externalidades de especialização e externalidades de diversificação (GLAESER </w:t>
      </w:r>
      <w:r w:rsidRPr="00D9794A">
        <w:rPr>
          <w:rFonts w:ascii="Times New Roman" w:hAnsi="Times New Roman"/>
          <w:i/>
          <w:sz w:val="24"/>
          <w:szCs w:val="24"/>
        </w:rPr>
        <w:t>et al</w:t>
      </w:r>
      <w:r w:rsidRPr="00D9794A">
        <w:rPr>
          <w:rFonts w:ascii="Times New Roman" w:hAnsi="Times New Roman"/>
          <w:sz w:val="24"/>
          <w:szCs w:val="24"/>
        </w:rPr>
        <w:t>.,</w:t>
      </w:r>
      <w:r w:rsidR="00C371B0">
        <w:rPr>
          <w:rFonts w:ascii="Times New Roman" w:hAnsi="Times New Roman"/>
          <w:sz w:val="24"/>
          <w:szCs w:val="24"/>
        </w:rPr>
        <w:t xml:space="preserve"> </w:t>
      </w:r>
      <w:r w:rsidRPr="00D9794A">
        <w:rPr>
          <w:rFonts w:ascii="Times New Roman" w:hAnsi="Times New Roman"/>
          <w:sz w:val="24"/>
          <w:szCs w:val="24"/>
        </w:rPr>
        <w:t xml:space="preserve">1992; FRENKEN </w:t>
      </w:r>
      <w:r w:rsidRPr="00D9794A">
        <w:rPr>
          <w:rFonts w:ascii="Times New Roman" w:hAnsi="Times New Roman"/>
          <w:i/>
          <w:sz w:val="24"/>
          <w:szCs w:val="24"/>
        </w:rPr>
        <w:t>et al</w:t>
      </w:r>
      <w:r w:rsidRPr="00D9794A">
        <w:rPr>
          <w:rFonts w:ascii="Times New Roman" w:hAnsi="Times New Roman"/>
          <w:sz w:val="24"/>
          <w:szCs w:val="24"/>
        </w:rPr>
        <w:t xml:space="preserve">., 2007; O`HUALLACHÁIN e LEE, 2011). As </w:t>
      </w:r>
      <w:r w:rsidR="00E92449">
        <w:rPr>
          <w:rFonts w:ascii="Times New Roman" w:hAnsi="Times New Roman"/>
          <w:sz w:val="24"/>
          <w:szCs w:val="24"/>
        </w:rPr>
        <w:t>primeira</w:t>
      </w:r>
      <w:r w:rsidR="00C708E2">
        <w:rPr>
          <w:rFonts w:ascii="Times New Roman" w:hAnsi="Times New Roman"/>
          <w:sz w:val="24"/>
          <w:szCs w:val="24"/>
        </w:rPr>
        <w:t>s</w:t>
      </w:r>
      <w:r w:rsidRPr="00D9794A">
        <w:rPr>
          <w:rFonts w:ascii="Times New Roman" w:hAnsi="Times New Roman"/>
          <w:sz w:val="24"/>
          <w:szCs w:val="24"/>
        </w:rPr>
        <w:t xml:space="preserve">, </w:t>
      </w:r>
      <w:r w:rsidR="00E92449">
        <w:rPr>
          <w:rFonts w:ascii="Times New Roman" w:hAnsi="Times New Roman"/>
          <w:sz w:val="24"/>
          <w:szCs w:val="24"/>
        </w:rPr>
        <w:t>também denominadas</w:t>
      </w:r>
      <w:r w:rsidRPr="00D9794A">
        <w:rPr>
          <w:rFonts w:ascii="Times New Roman" w:hAnsi="Times New Roman"/>
          <w:sz w:val="24"/>
          <w:szCs w:val="24"/>
        </w:rPr>
        <w:t xml:space="preserve"> externalidades de localização, foram concebidas inicialmente por Marshall (1920), sendo </w:t>
      </w:r>
      <w:r w:rsidR="00E71832">
        <w:rPr>
          <w:rFonts w:ascii="Times New Roman" w:hAnsi="Times New Roman"/>
          <w:sz w:val="24"/>
          <w:szCs w:val="24"/>
        </w:rPr>
        <w:t xml:space="preserve">seu conceito </w:t>
      </w:r>
      <w:r w:rsidRPr="00D9794A">
        <w:rPr>
          <w:rFonts w:ascii="Times New Roman" w:hAnsi="Times New Roman"/>
          <w:sz w:val="24"/>
          <w:szCs w:val="24"/>
        </w:rPr>
        <w:t>aprimorad</w:t>
      </w:r>
      <w:r w:rsidR="00E71832">
        <w:rPr>
          <w:rFonts w:ascii="Times New Roman" w:hAnsi="Times New Roman"/>
          <w:sz w:val="24"/>
          <w:szCs w:val="24"/>
        </w:rPr>
        <w:t>o</w:t>
      </w:r>
      <w:r w:rsidRPr="00D9794A">
        <w:rPr>
          <w:rFonts w:ascii="Times New Roman" w:hAnsi="Times New Roman"/>
          <w:sz w:val="24"/>
          <w:szCs w:val="24"/>
        </w:rPr>
        <w:t xml:space="preserve"> por Arrow (1962) e Romer (1986), </w:t>
      </w:r>
      <w:r w:rsidR="00E92449">
        <w:rPr>
          <w:rFonts w:ascii="Times New Roman" w:hAnsi="Times New Roman"/>
          <w:sz w:val="24"/>
          <w:szCs w:val="24"/>
        </w:rPr>
        <w:t xml:space="preserve">assim, </w:t>
      </w:r>
      <w:r w:rsidRPr="00D9794A">
        <w:rPr>
          <w:rFonts w:ascii="Times New Roman" w:hAnsi="Times New Roman"/>
          <w:sz w:val="24"/>
          <w:szCs w:val="24"/>
        </w:rPr>
        <w:t>recebe</w:t>
      </w:r>
      <w:r w:rsidR="00E92449">
        <w:rPr>
          <w:rFonts w:ascii="Times New Roman" w:hAnsi="Times New Roman"/>
          <w:sz w:val="24"/>
          <w:szCs w:val="24"/>
        </w:rPr>
        <w:t>ram</w:t>
      </w:r>
      <w:r w:rsidRPr="00D9794A">
        <w:rPr>
          <w:rFonts w:ascii="Times New Roman" w:hAnsi="Times New Roman"/>
          <w:sz w:val="24"/>
          <w:szCs w:val="24"/>
        </w:rPr>
        <w:t xml:space="preserve"> o acrônimo de externalidades MAR. Para esses autores, a concentração de indústrias que atuam nos mesmos setores acaba promovendo o transbordamento de conhecimento entre </w:t>
      </w:r>
      <w:r w:rsidR="00E92449">
        <w:rPr>
          <w:rFonts w:ascii="Times New Roman" w:hAnsi="Times New Roman"/>
          <w:sz w:val="24"/>
          <w:szCs w:val="24"/>
        </w:rPr>
        <w:t>o</w:t>
      </w:r>
      <w:r w:rsidR="00E92449" w:rsidRPr="00D9794A">
        <w:rPr>
          <w:rFonts w:ascii="Times New Roman" w:hAnsi="Times New Roman"/>
          <w:sz w:val="24"/>
          <w:szCs w:val="24"/>
        </w:rPr>
        <w:t>s mesm</w:t>
      </w:r>
      <w:r w:rsidR="00E92449">
        <w:rPr>
          <w:rFonts w:ascii="Times New Roman" w:hAnsi="Times New Roman"/>
          <w:sz w:val="24"/>
          <w:szCs w:val="24"/>
        </w:rPr>
        <w:t>o</w:t>
      </w:r>
      <w:r w:rsidR="00E92449" w:rsidRPr="00D9794A">
        <w:rPr>
          <w:rFonts w:ascii="Times New Roman" w:hAnsi="Times New Roman"/>
          <w:sz w:val="24"/>
          <w:szCs w:val="24"/>
        </w:rPr>
        <w:t xml:space="preserve">s </w:t>
      </w:r>
      <w:r w:rsidRPr="00D9794A">
        <w:rPr>
          <w:rFonts w:ascii="Times New Roman" w:hAnsi="Times New Roman"/>
          <w:sz w:val="24"/>
          <w:szCs w:val="24"/>
        </w:rPr>
        <w:t xml:space="preserve">devido à grande proximidade cognitiva, </w:t>
      </w:r>
      <w:r w:rsidR="00E92449">
        <w:rPr>
          <w:rFonts w:ascii="Times New Roman" w:hAnsi="Times New Roman"/>
          <w:sz w:val="24"/>
          <w:szCs w:val="24"/>
        </w:rPr>
        <w:t xml:space="preserve">o que </w:t>
      </w:r>
      <w:r w:rsidRPr="00D9794A">
        <w:rPr>
          <w:rFonts w:ascii="Times New Roman" w:hAnsi="Times New Roman"/>
          <w:sz w:val="24"/>
          <w:szCs w:val="24"/>
        </w:rPr>
        <w:t>facilita</w:t>
      </w:r>
      <w:r w:rsidR="00E92449">
        <w:rPr>
          <w:rFonts w:ascii="Times New Roman" w:hAnsi="Times New Roman"/>
          <w:sz w:val="24"/>
          <w:szCs w:val="24"/>
        </w:rPr>
        <w:t>ria</w:t>
      </w:r>
      <w:r w:rsidRPr="00D9794A">
        <w:rPr>
          <w:rFonts w:ascii="Times New Roman" w:hAnsi="Times New Roman"/>
          <w:sz w:val="24"/>
          <w:szCs w:val="24"/>
        </w:rPr>
        <w:t xml:space="preserve"> a ocorrência de inovação. </w:t>
      </w:r>
      <w:proofErr w:type="spellStart"/>
      <w:r w:rsidRPr="00D9794A">
        <w:rPr>
          <w:rFonts w:ascii="Times New Roman" w:hAnsi="Times New Roman"/>
          <w:sz w:val="24"/>
          <w:szCs w:val="24"/>
        </w:rPr>
        <w:t>O’Huallacháin</w:t>
      </w:r>
      <w:proofErr w:type="spellEnd"/>
      <w:r w:rsidRPr="00D9794A">
        <w:rPr>
          <w:rFonts w:ascii="Times New Roman" w:hAnsi="Times New Roman"/>
          <w:sz w:val="24"/>
          <w:szCs w:val="24"/>
        </w:rPr>
        <w:t xml:space="preserve"> e Lee (2011) argumentam </w:t>
      </w:r>
      <w:r w:rsidR="00862268">
        <w:rPr>
          <w:rFonts w:ascii="Times New Roman" w:hAnsi="Times New Roman"/>
          <w:sz w:val="24"/>
          <w:szCs w:val="24"/>
        </w:rPr>
        <w:t xml:space="preserve">ainda </w:t>
      </w:r>
      <w:r w:rsidRPr="00D9794A">
        <w:rPr>
          <w:rFonts w:ascii="Times New Roman" w:hAnsi="Times New Roman"/>
          <w:sz w:val="24"/>
          <w:szCs w:val="24"/>
        </w:rPr>
        <w:t xml:space="preserve">que </w:t>
      </w:r>
      <w:r w:rsidR="00E92449">
        <w:rPr>
          <w:rFonts w:ascii="Times New Roman" w:hAnsi="Times New Roman"/>
          <w:sz w:val="24"/>
          <w:szCs w:val="24"/>
        </w:rPr>
        <w:t xml:space="preserve">o </w:t>
      </w:r>
      <w:r w:rsidRPr="00D9794A">
        <w:rPr>
          <w:rFonts w:ascii="Times New Roman" w:hAnsi="Times New Roman"/>
          <w:sz w:val="24"/>
          <w:szCs w:val="24"/>
        </w:rPr>
        <w:t>transbordamento de conhecimento advindo de economias de localização é importante na solução de desafios tecnológicos</w:t>
      </w:r>
      <w:r w:rsidR="00E71832">
        <w:rPr>
          <w:rFonts w:ascii="Times New Roman" w:hAnsi="Times New Roman"/>
          <w:sz w:val="24"/>
          <w:szCs w:val="24"/>
        </w:rPr>
        <w:t>,</w:t>
      </w:r>
      <w:r w:rsidRPr="00D9794A">
        <w:rPr>
          <w:rFonts w:ascii="Times New Roman" w:hAnsi="Times New Roman"/>
          <w:sz w:val="24"/>
          <w:szCs w:val="24"/>
        </w:rPr>
        <w:t xml:space="preserve"> e que cidades especializadas acaba</w:t>
      </w:r>
      <w:r w:rsidR="00E92449">
        <w:rPr>
          <w:rFonts w:ascii="Times New Roman" w:hAnsi="Times New Roman"/>
          <w:sz w:val="24"/>
          <w:szCs w:val="24"/>
        </w:rPr>
        <w:t>ria</w:t>
      </w:r>
      <w:r w:rsidRPr="00D9794A">
        <w:rPr>
          <w:rFonts w:ascii="Times New Roman" w:hAnsi="Times New Roman"/>
          <w:sz w:val="24"/>
          <w:szCs w:val="24"/>
        </w:rPr>
        <w:t xml:space="preserve">m gerando externalidades associadas com </w:t>
      </w:r>
      <w:r w:rsidR="00901955">
        <w:rPr>
          <w:rFonts w:ascii="Times New Roman" w:hAnsi="Times New Roman"/>
          <w:sz w:val="24"/>
          <w:szCs w:val="24"/>
        </w:rPr>
        <w:t xml:space="preserve">a </w:t>
      </w:r>
      <w:r w:rsidRPr="00D9794A">
        <w:rPr>
          <w:rFonts w:ascii="Times New Roman" w:hAnsi="Times New Roman"/>
          <w:sz w:val="24"/>
          <w:szCs w:val="24"/>
        </w:rPr>
        <w:t>oferta local de insumos e serviços</w:t>
      </w:r>
      <w:r w:rsidR="00E92449">
        <w:rPr>
          <w:rFonts w:ascii="Times New Roman" w:hAnsi="Times New Roman"/>
          <w:sz w:val="24"/>
          <w:szCs w:val="24"/>
        </w:rPr>
        <w:t>,</w:t>
      </w:r>
      <w:r w:rsidRPr="00D9794A">
        <w:rPr>
          <w:rFonts w:ascii="Times New Roman" w:hAnsi="Times New Roman"/>
          <w:sz w:val="24"/>
          <w:szCs w:val="24"/>
        </w:rPr>
        <w:t xml:space="preserve"> e com a formação de uma mão de obra especializadas que atrai mutuamente empresas e trabalhadores </w:t>
      </w:r>
      <w:r w:rsidR="00E92449">
        <w:rPr>
          <w:rFonts w:ascii="Times New Roman" w:hAnsi="Times New Roman"/>
          <w:sz w:val="24"/>
          <w:szCs w:val="24"/>
        </w:rPr>
        <w:t xml:space="preserve">também </w:t>
      </w:r>
      <w:r w:rsidRPr="00D9794A">
        <w:rPr>
          <w:rFonts w:ascii="Times New Roman" w:hAnsi="Times New Roman"/>
          <w:sz w:val="24"/>
          <w:szCs w:val="24"/>
        </w:rPr>
        <w:t xml:space="preserve">especializados. </w:t>
      </w:r>
    </w:p>
    <w:p w14:paraId="163B3892" w14:textId="77777777" w:rsidR="00E652C8" w:rsidRPr="00D9794A" w:rsidRDefault="00E652C8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794A">
        <w:rPr>
          <w:rFonts w:ascii="Times New Roman" w:hAnsi="Times New Roman"/>
          <w:sz w:val="24"/>
          <w:szCs w:val="24"/>
        </w:rPr>
        <w:t xml:space="preserve">Os efeitos desses tipos de externalidades são específicos. Segundo </w:t>
      </w:r>
      <w:proofErr w:type="spellStart"/>
      <w:r w:rsidRPr="00D9794A">
        <w:rPr>
          <w:rFonts w:ascii="Times New Roman" w:hAnsi="Times New Roman"/>
          <w:sz w:val="24"/>
          <w:szCs w:val="24"/>
        </w:rPr>
        <w:t>Frenken</w:t>
      </w:r>
      <w:proofErr w:type="spellEnd"/>
      <w:r w:rsidRPr="00D9794A">
        <w:rPr>
          <w:rFonts w:ascii="Times New Roman" w:hAnsi="Times New Roman"/>
          <w:sz w:val="24"/>
          <w:szCs w:val="24"/>
        </w:rPr>
        <w:t xml:space="preserve"> </w:t>
      </w:r>
      <w:r w:rsidRPr="00D9794A">
        <w:rPr>
          <w:rFonts w:ascii="Times New Roman" w:hAnsi="Times New Roman"/>
          <w:i/>
          <w:sz w:val="24"/>
          <w:szCs w:val="24"/>
        </w:rPr>
        <w:t>et al</w:t>
      </w:r>
      <w:r w:rsidRPr="00D9794A">
        <w:rPr>
          <w:rFonts w:ascii="Times New Roman" w:hAnsi="Times New Roman"/>
          <w:sz w:val="24"/>
          <w:szCs w:val="24"/>
        </w:rPr>
        <w:t>. (2007)</w:t>
      </w:r>
      <w:r w:rsidR="004614F7">
        <w:rPr>
          <w:rFonts w:ascii="Times New Roman" w:hAnsi="Times New Roman"/>
          <w:sz w:val="24"/>
          <w:szCs w:val="24"/>
        </w:rPr>
        <w:t>,</w:t>
      </w:r>
      <w:r w:rsidRPr="00D9794A">
        <w:rPr>
          <w:rFonts w:ascii="Times New Roman" w:hAnsi="Times New Roman"/>
          <w:sz w:val="24"/>
          <w:szCs w:val="24"/>
        </w:rPr>
        <w:t xml:space="preserve"> espera-se que economias de localização acarretem inovações incrementais de produtos e processos, dado que os transbordamentos são oriundos de empresas com tecnologias </w:t>
      </w:r>
      <w:r>
        <w:rPr>
          <w:rFonts w:ascii="Times New Roman" w:hAnsi="Times New Roman"/>
          <w:sz w:val="24"/>
          <w:szCs w:val="24"/>
        </w:rPr>
        <w:t xml:space="preserve">e produtos </w:t>
      </w:r>
      <w:r w:rsidRPr="00D9794A">
        <w:rPr>
          <w:rFonts w:ascii="Times New Roman" w:hAnsi="Times New Roman"/>
          <w:sz w:val="24"/>
          <w:szCs w:val="24"/>
        </w:rPr>
        <w:t xml:space="preserve">similares. Em outras palavras, espera-se que </w:t>
      </w:r>
      <w:r>
        <w:rPr>
          <w:rFonts w:ascii="Times New Roman" w:hAnsi="Times New Roman"/>
          <w:sz w:val="24"/>
          <w:szCs w:val="24"/>
        </w:rPr>
        <w:t xml:space="preserve">as </w:t>
      </w:r>
      <w:r w:rsidRPr="00D9794A">
        <w:rPr>
          <w:rFonts w:ascii="Times New Roman" w:hAnsi="Times New Roman"/>
          <w:sz w:val="24"/>
          <w:szCs w:val="24"/>
        </w:rPr>
        <w:t>externalidades de especialização gerem ganhos de produtividade para as firmas.</w:t>
      </w:r>
    </w:p>
    <w:p w14:paraId="78F604DD" w14:textId="230F7DE9" w:rsidR="00AD2979" w:rsidRPr="00D9794A" w:rsidRDefault="00AD2979" w:rsidP="00E9244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94A">
        <w:rPr>
          <w:rFonts w:ascii="Times New Roman" w:hAnsi="Times New Roman"/>
          <w:sz w:val="24"/>
          <w:szCs w:val="24"/>
        </w:rPr>
        <w:t xml:space="preserve">As externalidades de diversificação, ou externalidades de Jacobs, </w:t>
      </w:r>
      <w:r w:rsidR="00E92449">
        <w:rPr>
          <w:rFonts w:ascii="Times New Roman" w:hAnsi="Times New Roman"/>
          <w:sz w:val="24"/>
          <w:szCs w:val="24"/>
        </w:rPr>
        <w:t>foram</w:t>
      </w:r>
      <w:r w:rsidR="00E92449" w:rsidRPr="00D9794A">
        <w:rPr>
          <w:rFonts w:ascii="Times New Roman" w:hAnsi="Times New Roman"/>
          <w:sz w:val="24"/>
          <w:szCs w:val="24"/>
        </w:rPr>
        <w:t xml:space="preserve"> </w:t>
      </w:r>
      <w:r w:rsidR="004842F8">
        <w:rPr>
          <w:rFonts w:ascii="Times New Roman" w:hAnsi="Times New Roman"/>
          <w:sz w:val="24"/>
          <w:szCs w:val="24"/>
        </w:rPr>
        <w:t xml:space="preserve">abordadas </w:t>
      </w:r>
      <w:r w:rsidR="00E92449">
        <w:rPr>
          <w:rFonts w:ascii="Times New Roman" w:hAnsi="Times New Roman"/>
          <w:sz w:val="24"/>
          <w:szCs w:val="24"/>
        </w:rPr>
        <w:t xml:space="preserve">primeiramente </w:t>
      </w:r>
      <w:r w:rsidR="004842F8">
        <w:rPr>
          <w:rFonts w:ascii="Times New Roman" w:hAnsi="Times New Roman"/>
          <w:sz w:val="24"/>
          <w:szCs w:val="24"/>
        </w:rPr>
        <w:t>n</w:t>
      </w:r>
      <w:r w:rsidRPr="00D9794A">
        <w:rPr>
          <w:rFonts w:ascii="Times New Roman" w:hAnsi="Times New Roman"/>
          <w:sz w:val="24"/>
          <w:szCs w:val="24"/>
        </w:rPr>
        <w:t>o trabalho de Jacobs (1969). A ideia desse tipo de externalidade é que a diversificação ou variedade de setores em uma região</w:t>
      </w:r>
      <w:r w:rsidR="00E92449">
        <w:rPr>
          <w:rFonts w:ascii="Times New Roman" w:hAnsi="Times New Roman"/>
          <w:sz w:val="24"/>
          <w:szCs w:val="24"/>
        </w:rPr>
        <w:t>,</w:t>
      </w:r>
      <w:r w:rsidRPr="00D9794A">
        <w:rPr>
          <w:rFonts w:ascii="Times New Roman" w:hAnsi="Times New Roman"/>
          <w:sz w:val="24"/>
          <w:szCs w:val="24"/>
        </w:rPr>
        <w:t xml:space="preserve"> proporciona o transbordamento de conhecimento entre firmas por intermédio de interação, cópia e recombinação de ideias e tecnologias entre todos os setores das diferentes indústrias (VAN OORT, 2004). </w:t>
      </w:r>
    </w:p>
    <w:p w14:paraId="11258B99" w14:textId="3D880520" w:rsidR="00AD2979" w:rsidRDefault="00E92449" w:rsidP="00E9244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As </w:t>
      </w:r>
      <w:r w:rsidR="00AD2979" w:rsidRPr="00D9794A">
        <w:rPr>
          <w:rFonts w:ascii="Times New Roman" w:hAnsi="Times New Roman"/>
          <w:sz w:val="24"/>
          <w:szCs w:val="24"/>
        </w:rPr>
        <w:t>economias de diversificação</w:t>
      </w:r>
      <w:r>
        <w:rPr>
          <w:rFonts w:ascii="Times New Roman" w:hAnsi="Times New Roman"/>
          <w:sz w:val="24"/>
          <w:szCs w:val="24"/>
        </w:rPr>
        <w:t>, por seu turno,</w:t>
      </w:r>
      <w:r w:rsidR="00AD2979" w:rsidRPr="00D9794A">
        <w:rPr>
          <w:rFonts w:ascii="Times New Roman" w:hAnsi="Times New Roman"/>
          <w:sz w:val="24"/>
          <w:szCs w:val="24"/>
        </w:rPr>
        <w:t xml:space="preserve"> seguem </w:t>
      </w:r>
      <w:r w:rsidR="00E652C8">
        <w:rPr>
          <w:rFonts w:ascii="Times New Roman" w:hAnsi="Times New Roman"/>
          <w:sz w:val="24"/>
          <w:szCs w:val="24"/>
        </w:rPr>
        <w:t>a</w:t>
      </w:r>
      <w:r w:rsidR="00E652C8" w:rsidRPr="00D9794A">
        <w:rPr>
          <w:rFonts w:ascii="Times New Roman" w:hAnsi="Times New Roman"/>
          <w:sz w:val="24"/>
          <w:szCs w:val="24"/>
        </w:rPr>
        <w:t xml:space="preserve"> </w:t>
      </w:r>
      <w:r w:rsidR="00AD2979" w:rsidRPr="00D9794A">
        <w:rPr>
          <w:rFonts w:ascii="Times New Roman" w:hAnsi="Times New Roman"/>
          <w:sz w:val="24"/>
          <w:szCs w:val="24"/>
        </w:rPr>
        <w:t xml:space="preserve">abordagem schumpeteriana de </w:t>
      </w:r>
      <w:r w:rsidR="00715E56" w:rsidRPr="00452761">
        <w:rPr>
          <w:rFonts w:ascii="Times New Roman" w:hAnsi="Times New Roman"/>
          <w:sz w:val="24"/>
          <w:szCs w:val="24"/>
        </w:rPr>
        <w:t>“destruição criativa”</w:t>
      </w:r>
      <w:r w:rsidR="00452761" w:rsidRPr="00BB428C">
        <w:rPr>
          <w:rStyle w:val="Refdenotaderodap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. Esta </w:t>
      </w:r>
      <w:r w:rsidR="005E54FB">
        <w:rPr>
          <w:rFonts w:ascii="Times New Roman" w:hAnsi="Times New Roman"/>
          <w:sz w:val="24"/>
          <w:szCs w:val="24"/>
        </w:rPr>
        <w:t xml:space="preserve">economia </w:t>
      </w:r>
      <w:r>
        <w:rPr>
          <w:rFonts w:ascii="Times New Roman" w:hAnsi="Times New Roman"/>
          <w:sz w:val="24"/>
          <w:szCs w:val="24"/>
        </w:rPr>
        <w:t>proporcionaria</w:t>
      </w:r>
      <w:r w:rsidR="00AD2979" w:rsidRPr="00D9794A">
        <w:rPr>
          <w:rFonts w:ascii="Times New Roman" w:hAnsi="Times New Roman"/>
          <w:sz w:val="24"/>
          <w:szCs w:val="24"/>
        </w:rPr>
        <w:t xml:space="preserve"> inovações radicais e de produtos, </w:t>
      </w:r>
      <w:r>
        <w:rPr>
          <w:rFonts w:ascii="Times New Roman" w:hAnsi="Times New Roman"/>
          <w:sz w:val="24"/>
          <w:szCs w:val="24"/>
        </w:rPr>
        <w:t xml:space="preserve">ou seja, resultaria em </w:t>
      </w:r>
      <w:r w:rsidRPr="00D9794A">
        <w:rPr>
          <w:rFonts w:ascii="Times New Roman" w:hAnsi="Times New Roman"/>
          <w:sz w:val="24"/>
          <w:szCs w:val="24"/>
        </w:rPr>
        <w:t>novos produtos e novas tecnologias</w:t>
      </w:r>
      <w:r>
        <w:rPr>
          <w:rFonts w:ascii="Times New Roman" w:hAnsi="Times New Roman"/>
          <w:sz w:val="24"/>
          <w:szCs w:val="24"/>
        </w:rPr>
        <w:t xml:space="preserve">, </w:t>
      </w:r>
      <w:r w:rsidR="00E652C8">
        <w:rPr>
          <w:rFonts w:ascii="Times New Roman" w:hAnsi="Times New Roman"/>
          <w:sz w:val="24"/>
          <w:szCs w:val="24"/>
        </w:rPr>
        <w:t>uma vez que</w:t>
      </w:r>
      <w:r w:rsidR="00E652C8" w:rsidRPr="00D9794A">
        <w:rPr>
          <w:rFonts w:ascii="Times New Roman" w:hAnsi="Times New Roman"/>
          <w:sz w:val="24"/>
          <w:szCs w:val="24"/>
        </w:rPr>
        <w:t xml:space="preserve"> </w:t>
      </w:r>
      <w:r w:rsidR="00AD2979" w:rsidRPr="00D9794A">
        <w:rPr>
          <w:rFonts w:ascii="Times New Roman" w:hAnsi="Times New Roman"/>
          <w:sz w:val="24"/>
          <w:szCs w:val="24"/>
        </w:rPr>
        <w:t xml:space="preserve">os conhecimentos gerados </w:t>
      </w:r>
      <w:r w:rsidR="005E54FB">
        <w:rPr>
          <w:rFonts w:ascii="Times New Roman" w:hAnsi="Times New Roman"/>
          <w:sz w:val="24"/>
          <w:szCs w:val="24"/>
        </w:rPr>
        <w:t>e combinados</w:t>
      </w:r>
      <w:r w:rsidR="00AD2979" w:rsidRPr="00D9794A">
        <w:rPr>
          <w:rFonts w:ascii="Times New Roman" w:hAnsi="Times New Roman"/>
          <w:sz w:val="24"/>
          <w:szCs w:val="24"/>
        </w:rPr>
        <w:t xml:space="preserve"> são oriundos de diversos setores. Desse modo, espera-se que externalidades de diversificação tenham um impacto maior no nível de emprego da região do que nos níveis de produtividade (FRENKEN </w:t>
      </w:r>
      <w:r w:rsidR="00AD2979" w:rsidRPr="00D9794A">
        <w:rPr>
          <w:rFonts w:ascii="Times New Roman" w:hAnsi="Times New Roman"/>
          <w:i/>
          <w:sz w:val="24"/>
          <w:szCs w:val="24"/>
        </w:rPr>
        <w:t>et al</w:t>
      </w:r>
      <w:r w:rsidR="00AD2979" w:rsidRPr="00D9794A">
        <w:rPr>
          <w:rFonts w:ascii="Times New Roman" w:hAnsi="Times New Roman"/>
          <w:sz w:val="24"/>
          <w:szCs w:val="24"/>
        </w:rPr>
        <w:t>., 2007).</w:t>
      </w:r>
    </w:p>
    <w:p w14:paraId="6869230E" w14:textId="77777777" w:rsidR="00AD2979" w:rsidRPr="00D9794A" w:rsidRDefault="00AD2979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794A">
        <w:rPr>
          <w:rFonts w:ascii="Times New Roman" w:hAnsi="Times New Roman"/>
          <w:sz w:val="24"/>
          <w:szCs w:val="24"/>
        </w:rPr>
        <w:t>Um ponto fundamental para a ocorrência de transbordamento</w:t>
      </w:r>
      <w:r w:rsidR="00D940E4">
        <w:rPr>
          <w:rFonts w:ascii="Times New Roman" w:hAnsi="Times New Roman"/>
          <w:sz w:val="24"/>
          <w:szCs w:val="24"/>
        </w:rPr>
        <w:t>s</w:t>
      </w:r>
      <w:r w:rsidRPr="00D9794A">
        <w:rPr>
          <w:rFonts w:ascii="Times New Roman" w:hAnsi="Times New Roman"/>
          <w:sz w:val="24"/>
          <w:szCs w:val="24"/>
        </w:rPr>
        <w:t xml:space="preserve"> entre setores e firmas é a necessidade de proximidade cognitiva e tecnológica (NOOTEBOOM, 2000). Com base nisto, </w:t>
      </w:r>
      <w:proofErr w:type="spellStart"/>
      <w:r w:rsidRPr="00D9794A">
        <w:rPr>
          <w:rFonts w:ascii="Times New Roman" w:hAnsi="Times New Roman"/>
          <w:sz w:val="24"/>
          <w:szCs w:val="24"/>
        </w:rPr>
        <w:t>Frenken</w:t>
      </w:r>
      <w:proofErr w:type="spellEnd"/>
      <w:r w:rsidRPr="00D9794A">
        <w:rPr>
          <w:rFonts w:ascii="Times New Roman" w:hAnsi="Times New Roman"/>
          <w:sz w:val="24"/>
          <w:szCs w:val="24"/>
        </w:rPr>
        <w:t xml:space="preserve"> </w:t>
      </w:r>
      <w:r w:rsidRPr="00D9794A">
        <w:rPr>
          <w:rFonts w:ascii="Times New Roman" w:hAnsi="Times New Roman"/>
          <w:i/>
          <w:sz w:val="24"/>
          <w:szCs w:val="24"/>
        </w:rPr>
        <w:t>et al</w:t>
      </w:r>
      <w:r w:rsidRPr="00D9794A">
        <w:rPr>
          <w:rFonts w:ascii="Times New Roman" w:hAnsi="Times New Roman"/>
          <w:sz w:val="24"/>
          <w:szCs w:val="24"/>
        </w:rPr>
        <w:t xml:space="preserve">. (2007) introduzem o conceito de variedade relacionada e não relacionada, enriquecendo o debate sobre transbordamento de conhecimento e economias de aglomeração. Para esses autores, não é a variedade setorial por si que acarreta em crescimento, mas sim como se dá a relação de </w:t>
      </w:r>
      <w:r w:rsidR="00504DE2" w:rsidRPr="00D9794A">
        <w:rPr>
          <w:rFonts w:ascii="Times New Roman" w:hAnsi="Times New Roman"/>
          <w:sz w:val="24"/>
          <w:szCs w:val="24"/>
        </w:rPr>
        <w:t>complementaridade</w:t>
      </w:r>
      <w:r w:rsidRPr="00D9794A">
        <w:rPr>
          <w:rFonts w:ascii="Times New Roman" w:hAnsi="Times New Roman"/>
          <w:sz w:val="24"/>
          <w:szCs w:val="24"/>
        </w:rPr>
        <w:t xml:space="preserve"> entre os setores. </w:t>
      </w:r>
    </w:p>
    <w:p w14:paraId="2472ABF3" w14:textId="33E93D99" w:rsidR="00F16F10" w:rsidRPr="00D9794A" w:rsidRDefault="005E54FB" w:rsidP="00E9244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</w:t>
      </w:r>
      <w:r w:rsidR="00AD2979" w:rsidRPr="00D9794A">
        <w:rPr>
          <w:rFonts w:ascii="Times New Roman" w:hAnsi="Times New Roman"/>
          <w:sz w:val="24"/>
          <w:szCs w:val="24"/>
        </w:rPr>
        <w:t>ariedade relacionada é definida como indústrias que compartilham capacidades complementares impactando positivamente o crescimento do emprego</w:t>
      </w:r>
      <w:r>
        <w:rPr>
          <w:rFonts w:ascii="Times New Roman" w:hAnsi="Times New Roman"/>
          <w:sz w:val="24"/>
          <w:szCs w:val="24"/>
        </w:rPr>
        <w:t>,</w:t>
      </w:r>
      <w:r w:rsidR="00AD2979" w:rsidRPr="00D9794A">
        <w:rPr>
          <w:rFonts w:ascii="Times New Roman" w:hAnsi="Times New Roman"/>
          <w:sz w:val="24"/>
          <w:szCs w:val="24"/>
        </w:rPr>
        <w:t xml:space="preserve"> não só </w:t>
      </w:r>
      <w:r>
        <w:rPr>
          <w:rFonts w:ascii="Times New Roman" w:hAnsi="Times New Roman"/>
          <w:sz w:val="24"/>
          <w:szCs w:val="24"/>
        </w:rPr>
        <w:t xml:space="preserve">por ao interagirem </w:t>
      </w:r>
      <w:r w:rsidR="00AD2979" w:rsidRPr="00D9794A">
        <w:rPr>
          <w:rFonts w:ascii="Times New Roman" w:hAnsi="Times New Roman"/>
          <w:sz w:val="24"/>
          <w:szCs w:val="24"/>
        </w:rPr>
        <w:t>aument</w:t>
      </w:r>
      <w:r>
        <w:rPr>
          <w:rFonts w:ascii="Times New Roman" w:hAnsi="Times New Roman"/>
          <w:sz w:val="24"/>
          <w:szCs w:val="24"/>
        </w:rPr>
        <w:t xml:space="preserve">arem </w:t>
      </w:r>
      <w:r w:rsidR="00AD2979" w:rsidRPr="00D9794A">
        <w:rPr>
          <w:rFonts w:ascii="Times New Roman" w:hAnsi="Times New Roman"/>
          <w:sz w:val="24"/>
          <w:szCs w:val="24"/>
        </w:rPr>
        <w:t xml:space="preserve">a produtividade mas também </w:t>
      </w:r>
      <w:r>
        <w:rPr>
          <w:rFonts w:ascii="Times New Roman" w:hAnsi="Times New Roman"/>
          <w:sz w:val="24"/>
          <w:szCs w:val="24"/>
        </w:rPr>
        <w:t xml:space="preserve">por </w:t>
      </w:r>
      <w:r w:rsidR="00AD2979" w:rsidRPr="00D9794A">
        <w:rPr>
          <w:rFonts w:ascii="Times New Roman" w:hAnsi="Times New Roman"/>
          <w:sz w:val="24"/>
          <w:szCs w:val="24"/>
        </w:rPr>
        <w:t>gera</w:t>
      </w:r>
      <w:r>
        <w:rPr>
          <w:rFonts w:ascii="Times New Roman" w:hAnsi="Times New Roman"/>
          <w:sz w:val="24"/>
          <w:szCs w:val="24"/>
        </w:rPr>
        <w:t>rem</w:t>
      </w:r>
      <w:r w:rsidR="00AD2979" w:rsidRPr="00D9794A">
        <w:rPr>
          <w:rFonts w:ascii="Times New Roman" w:hAnsi="Times New Roman"/>
          <w:sz w:val="24"/>
          <w:szCs w:val="24"/>
        </w:rPr>
        <w:t xml:space="preserve"> inovações radicais e de produtos, </w:t>
      </w:r>
      <w:r w:rsidR="00E652C8">
        <w:rPr>
          <w:rFonts w:ascii="Times New Roman" w:hAnsi="Times New Roman"/>
          <w:sz w:val="24"/>
          <w:szCs w:val="24"/>
        </w:rPr>
        <w:t>o que cr</w:t>
      </w:r>
      <w:r w:rsidR="007E6D04">
        <w:rPr>
          <w:rFonts w:ascii="Times New Roman" w:hAnsi="Times New Roman"/>
          <w:sz w:val="24"/>
          <w:szCs w:val="24"/>
        </w:rPr>
        <w:t>ia</w:t>
      </w:r>
      <w:r w:rsidR="00AD2979" w:rsidRPr="00D9794A">
        <w:rPr>
          <w:rFonts w:ascii="Times New Roman" w:hAnsi="Times New Roman"/>
          <w:sz w:val="24"/>
          <w:szCs w:val="24"/>
        </w:rPr>
        <w:t xml:space="preserve"> novos mercados e empregos</w:t>
      </w:r>
      <w:r w:rsidR="00F16F10" w:rsidRPr="00D9794A">
        <w:rPr>
          <w:rFonts w:ascii="Times New Roman" w:hAnsi="Times New Roman"/>
          <w:sz w:val="24"/>
          <w:szCs w:val="24"/>
        </w:rPr>
        <w:t xml:space="preserve"> (FRENKEN </w:t>
      </w:r>
      <w:r w:rsidR="00F16F10" w:rsidRPr="00D9794A">
        <w:rPr>
          <w:rFonts w:ascii="Times New Roman" w:hAnsi="Times New Roman"/>
          <w:i/>
          <w:sz w:val="24"/>
          <w:szCs w:val="24"/>
        </w:rPr>
        <w:t>et al</w:t>
      </w:r>
      <w:r w:rsidR="00F16F10" w:rsidRPr="00D9794A">
        <w:rPr>
          <w:rFonts w:ascii="Times New Roman" w:hAnsi="Times New Roman"/>
          <w:sz w:val="24"/>
          <w:szCs w:val="24"/>
        </w:rPr>
        <w:t>., 2007)</w:t>
      </w:r>
      <w:r w:rsidR="00AD2979" w:rsidRPr="00D9794A">
        <w:rPr>
          <w:rFonts w:ascii="Times New Roman" w:hAnsi="Times New Roman"/>
          <w:sz w:val="24"/>
          <w:szCs w:val="24"/>
        </w:rPr>
        <w:t>.</w:t>
      </w:r>
      <w:r w:rsidR="0028525A">
        <w:rPr>
          <w:rFonts w:ascii="Times New Roman" w:hAnsi="Times New Roman"/>
          <w:sz w:val="24"/>
          <w:szCs w:val="24"/>
        </w:rPr>
        <w:t xml:space="preserve"> Esse tipo de variedade é </w:t>
      </w:r>
      <w:r>
        <w:rPr>
          <w:rFonts w:ascii="Times New Roman" w:hAnsi="Times New Roman"/>
          <w:sz w:val="24"/>
          <w:szCs w:val="24"/>
        </w:rPr>
        <w:t>associado</w:t>
      </w:r>
      <w:r w:rsidR="002852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</w:t>
      </w:r>
      <w:r w:rsidR="0028525A">
        <w:rPr>
          <w:rFonts w:ascii="Times New Roman" w:hAnsi="Times New Roman"/>
          <w:sz w:val="24"/>
          <w:szCs w:val="24"/>
        </w:rPr>
        <w:t xml:space="preserve">s externalidades de </w:t>
      </w:r>
      <w:r w:rsidR="009847A4">
        <w:rPr>
          <w:rFonts w:ascii="Times New Roman" w:hAnsi="Times New Roman"/>
          <w:sz w:val="24"/>
          <w:szCs w:val="24"/>
        </w:rPr>
        <w:t>Jacob</w:t>
      </w:r>
      <w:r w:rsidR="007E6D04">
        <w:rPr>
          <w:rFonts w:ascii="Times New Roman" w:hAnsi="Times New Roman"/>
          <w:sz w:val="24"/>
          <w:szCs w:val="24"/>
        </w:rPr>
        <w:t>.</w:t>
      </w:r>
    </w:p>
    <w:p w14:paraId="5E3B5747" w14:textId="673D78BB" w:rsidR="00AD2979" w:rsidRDefault="00F16F10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794A">
        <w:rPr>
          <w:rFonts w:ascii="Times New Roman" w:hAnsi="Times New Roman"/>
          <w:sz w:val="24"/>
          <w:szCs w:val="24"/>
        </w:rPr>
        <w:t xml:space="preserve">Já </w:t>
      </w:r>
      <w:r w:rsidR="005E54FB">
        <w:rPr>
          <w:rFonts w:ascii="Times New Roman" w:hAnsi="Times New Roman"/>
          <w:sz w:val="24"/>
          <w:szCs w:val="24"/>
        </w:rPr>
        <w:t xml:space="preserve">a </w:t>
      </w:r>
      <w:r w:rsidR="00AD2979" w:rsidRPr="00D9794A">
        <w:rPr>
          <w:rFonts w:ascii="Times New Roman" w:hAnsi="Times New Roman"/>
          <w:sz w:val="24"/>
          <w:szCs w:val="24"/>
        </w:rPr>
        <w:t>variedade não relacionada refere-se a indústrias que não compartilham habilidades complementares</w:t>
      </w:r>
      <w:r w:rsidR="001B28AF">
        <w:rPr>
          <w:rFonts w:ascii="Times New Roman" w:hAnsi="Times New Roman"/>
          <w:sz w:val="24"/>
          <w:szCs w:val="24"/>
        </w:rPr>
        <w:t>.</w:t>
      </w:r>
      <w:r w:rsidR="001B28AF" w:rsidRPr="00D9794A">
        <w:rPr>
          <w:rFonts w:ascii="Times New Roman" w:hAnsi="Times New Roman"/>
          <w:sz w:val="24"/>
          <w:szCs w:val="24"/>
        </w:rPr>
        <w:t xml:space="preserve"> </w:t>
      </w:r>
      <w:r w:rsidR="001B28AF">
        <w:rPr>
          <w:rFonts w:ascii="Times New Roman" w:hAnsi="Times New Roman"/>
          <w:sz w:val="24"/>
          <w:szCs w:val="24"/>
        </w:rPr>
        <w:t>E</w:t>
      </w:r>
      <w:r w:rsidR="001B28AF" w:rsidRPr="00D9794A">
        <w:rPr>
          <w:rFonts w:ascii="Times New Roman" w:hAnsi="Times New Roman"/>
          <w:sz w:val="24"/>
          <w:szCs w:val="24"/>
        </w:rPr>
        <w:t xml:space="preserve">sse </w:t>
      </w:r>
      <w:r w:rsidR="00AD2979" w:rsidRPr="00D9794A">
        <w:rPr>
          <w:rFonts w:ascii="Times New Roman" w:hAnsi="Times New Roman"/>
          <w:sz w:val="24"/>
          <w:szCs w:val="24"/>
        </w:rPr>
        <w:t xml:space="preserve">tipo de variedade é </w:t>
      </w:r>
      <w:r w:rsidR="001B28AF">
        <w:rPr>
          <w:rFonts w:ascii="Times New Roman" w:hAnsi="Times New Roman"/>
          <w:sz w:val="24"/>
          <w:szCs w:val="24"/>
        </w:rPr>
        <w:t>vinculado</w:t>
      </w:r>
      <w:r w:rsidR="001B28AF" w:rsidRPr="00D9794A">
        <w:rPr>
          <w:rFonts w:ascii="Times New Roman" w:hAnsi="Times New Roman"/>
          <w:sz w:val="24"/>
          <w:szCs w:val="24"/>
        </w:rPr>
        <w:t xml:space="preserve"> </w:t>
      </w:r>
      <w:r w:rsidR="00AD2979" w:rsidRPr="00D9794A">
        <w:rPr>
          <w:rFonts w:ascii="Times New Roman" w:hAnsi="Times New Roman"/>
          <w:sz w:val="24"/>
          <w:szCs w:val="24"/>
        </w:rPr>
        <w:t>à estratégia de portfólio</w:t>
      </w:r>
      <w:r w:rsidR="005E54FB">
        <w:rPr>
          <w:rFonts w:ascii="Times New Roman" w:hAnsi="Times New Roman"/>
          <w:sz w:val="24"/>
          <w:szCs w:val="24"/>
        </w:rPr>
        <w:t xml:space="preserve">, a qual </w:t>
      </w:r>
      <w:r w:rsidR="00AD2979" w:rsidRPr="00D9794A">
        <w:rPr>
          <w:rFonts w:ascii="Times New Roman" w:hAnsi="Times New Roman"/>
          <w:sz w:val="24"/>
          <w:szCs w:val="24"/>
        </w:rPr>
        <w:t xml:space="preserve">protege os empregos de uma dada região caso ocorra um choque de demanda (FRENKEN </w:t>
      </w:r>
      <w:r w:rsidR="00AD2979" w:rsidRPr="00D9794A">
        <w:rPr>
          <w:rFonts w:ascii="Times New Roman" w:hAnsi="Times New Roman"/>
          <w:i/>
          <w:sz w:val="24"/>
          <w:szCs w:val="24"/>
        </w:rPr>
        <w:t>et al</w:t>
      </w:r>
      <w:r w:rsidR="00AD2979" w:rsidRPr="00D9794A">
        <w:rPr>
          <w:rFonts w:ascii="Times New Roman" w:hAnsi="Times New Roman"/>
          <w:sz w:val="24"/>
          <w:szCs w:val="24"/>
        </w:rPr>
        <w:t xml:space="preserve">., 2007). </w:t>
      </w:r>
      <w:r w:rsidR="0028525A">
        <w:rPr>
          <w:rFonts w:ascii="Times New Roman" w:hAnsi="Times New Roman"/>
          <w:sz w:val="24"/>
          <w:szCs w:val="24"/>
        </w:rPr>
        <w:t xml:space="preserve">O transbordamento entre setores não relacionados apresenta uma dificuldade maior devido à distância cognitiva entre os tipos de conhecimento, no entanto, é importante para </w:t>
      </w:r>
      <w:r w:rsidR="00B273A6">
        <w:rPr>
          <w:rFonts w:ascii="Times New Roman" w:hAnsi="Times New Roman"/>
          <w:sz w:val="24"/>
          <w:szCs w:val="24"/>
        </w:rPr>
        <w:t xml:space="preserve">manter o nível de </w:t>
      </w:r>
      <w:r w:rsidR="0028525A">
        <w:rPr>
          <w:rFonts w:ascii="Times New Roman" w:hAnsi="Times New Roman"/>
          <w:sz w:val="24"/>
          <w:szCs w:val="24"/>
        </w:rPr>
        <w:t xml:space="preserve">emprego da região. </w:t>
      </w:r>
      <w:proofErr w:type="spellStart"/>
      <w:r w:rsidR="0028525A">
        <w:rPr>
          <w:rFonts w:ascii="Times New Roman" w:hAnsi="Times New Roman"/>
          <w:sz w:val="24"/>
          <w:szCs w:val="24"/>
        </w:rPr>
        <w:t>Frenken</w:t>
      </w:r>
      <w:proofErr w:type="spellEnd"/>
      <w:r w:rsidR="0028525A">
        <w:rPr>
          <w:rFonts w:ascii="Times New Roman" w:hAnsi="Times New Roman"/>
          <w:sz w:val="24"/>
          <w:szCs w:val="24"/>
        </w:rPr>
        <w:t xml:space="preserve"> </w:t>
      </w:r>
      <w:r w:rsidR="0028525A">
        <w:rPr>
          <w:rFonts w:ascii="Times New Roman" w:hAnsi="Times New Roman"/>
          <w:i/>
          <w:sz w:val="24"/>
          <w:szCs w:val="24"/>
        </w:rPr>
        <w:t>et al</w:t>
      </w:r>
      <w:r w:rsidR="0028525A">
        <w:rPr>
          <w:rFonts w:ascii="Times New Roman" w:hAnsi="Times New Roman"/>
          <w:sz w:val="24"/>
          <w:szCs w:val="24"/>
        </w:rPr>
        <w:t xml:space="preserve">. (2007) e </w:t>
      </w:r>
      <w:proofErr w:type="spellStart"/>
      <w:r w:rsidR="0028525A">
        <w:rPr>
          <w:rFonts w:ascii="Times New Roman" w:hAnsi="Times New Roman"/>
          <w:sz w:val="24"/>
          <w:szCs w:val="24"/>
        </w:rPr>
        <w:t>Boschma</w:t>
      </w:r>
      <w:proofErr w:type="spellEnd"/>
      <w:r w:rsidR="0028525A">
        <w:rPr>
          <w:rFonts w:ascii="Times New Roman" w:hAnsi="Times New Roman"/>
          <w:sz w:val="24"/>
          <w:szCs w:val="24"/>
        </w:rPr>
        <w:t xml:space="preserve"> </w:t>
      </w:r>
      <w:r w:rsidR="0028525A">
        <w:rPr>
          <w:rFonts w:ascii="Times New Roman" w:hAnsi="Times New Roman"/>
          <w:i/>
          <w:sz w:val="24"/>
          <w:szCs w:val="24"/>
        </w:rPr>
        <w:t>et al</w:t>
      </w:r>
      <w:r w:rsidR="0028525A">
        <w:rPr>
          <w:rFonts w:ascii="Times New Roman" w:hAnsi="Times New Roman"/>
          <w:sz w:val="24"/>
          <w:szCs w:val="24"/>
        </w:rPr>
        <w:t>.</w:t>
      </w:r>
      <w:r w:rsidR="0028525A" w:rsidRPr="0028525A">
        <w:rPr>
          <w:rFonts w:ascii="Times New Roman" w:hAnsi="Times New Roman"/>
          <w:sz w:val="24"/>
          <w:szCs w:val="24"/>
        </w:rPr>
        <w:t xml:space="preserve"> (</w:t>
      </w:r>
      <w:r w:rsidR="0028525A">
        <w:rPr>
          <w:rFonts w:ascii="Times New Roman" w:hAnsi="Times New Roman"/>
          <w:sz w:val="24"/>
          <w:szCs w:val="24"/>
        </w:rPr>
        <w:t>2014) encontram resultados que comprovam essa hipótese.</w:t>
      </w:r>
    </w:p>
    <w:p w14:paraId="25901C01" w14:textId="147748A5" w:rsidR="000C6C0F" w:rsidRPr="000B39F7" w:rsidRDefault="000C6C0F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conceitos de variedade relacionada e variedade não relacionada </w:t>
      </w:r>
      <w:r w:rsidR="000B39F7">
        <w:rPr>
          <w:rFonts w:ascii="Times New Roman" w:hAnsi="Times New Roman"/>
          <w:sz w:val="24"/>
          <w:szCs w:val="24"/>
        </w:rPr>
        <w:t xml:space="preserve">fomentam a discussão na literatura de externalidades </w:t>
      </w:r>
      <w:r w:rsidR="00B273A6">
        <w:rPr>
          <w:rFonts w:ascii="Times New Roman" w:hAnsi="Times New Roman"/>
          <w:sz w:val="24"/>
          <w:szCs w:val="24"/>
        </w:rPr>
        <w:t>d</w:t>
      </w:r>
      <w:r w:rsidR="000B39F7">
        <w:rPr>
          <w:rFonts w:ascii="Times New Roman" w:hAnsi="Times New Roman"/>
          <w:sz w:val="24"/>
          <w:szCs w:val="24"/>
        </w:rPr>
        <w:t>e modo que a dicotomia entre externalidades MAR e externalidades de Jacobs é quebrada</w:t>
      </w:r>
      <w:r w:rsidR="00B273A6">
        <w:rPr>
          <w:rFonts w:ascii="Times New Roman" w:hAnsi="Times New Roman"/>
          <w:sz w:val="24"/>
          <w:szCs w:val="24"/>
        </w:rPr>
        <w:t>. Isso se dá uma vez que</w:t>
      </w:r>
      <w:r w:rsidR="005E54FB">
        <w:rPr>
          <w:rFonts w:ascii="Times New Roman" w:hAnsi="Times New Roman"/>
          <w:sz w:val="24"/>
          <w:szCs w:val="24"/>
        </w:rPr>
        <w:t>,</w:t>
      </w:r>
      <w:r w:rsidR="00105DE4">
        <w:rPr>
          <w:rFonts w:ascii="Times New Roman" w:hAnsi="Times New Roman"/>
          <w:sz w:val="24"/>
          <w:szCs w:val="24"/>
        </w:rPr>
        <w:t xml:space="preserve"> </w:t>
      </w:r>
      <w:r w:rsidR="000B39F7">
        <w:rPr>
          <w:rFonts w:ascii="Times New Roman" w:hAnsi="Times New Roman"/>
          <w:sz w:val="24"/>
          <w:szCs w:val="24"/>
        </w:rPr>
        <w:t xml:space="preserve">para que ocorra </w:t>
      </w:r>
      <w:r w:rsidR="00B273A6">
        <w:rPr>
          <w:rFonts w:ascii="Times New Roman" w:hAnsi="Times New Roman"/>
          <w:sz w:val="24"/>
          <w:szCs w:val="24"/>
        </w:rPr>
        <w:t xml:space="preserve">o </w:t>
      </w:r>
      <w:r w:rsidR="000B39F7">
        <w:rPr>
          <w:rFonts w:ascii="Times New Roman" w:hAnsi="Times New Roman"/>
          <w:sz w:val="24"/>
          <w:szCs w:val="24"/>
        </w:rPr>
        <w:t>transbordamento se faz necessário uma proximidade mínima entre os setores, não se trata</w:t>
      </w:r>
      <w:r w:rsidR="00B273A6">
        <w:rPr>
          <w:rFonts w:ascii="Times New Roman" w:hAnsi="Times New Roman"/>
          <w:sz w:val="24"/>
          <w:szCs w:val="24"/>
        </w:rPr>
        <w:t>ndo</w:t>
      </w:r>
      <w:r w:rsidR="000B39F7">
        <w:rPr>
          <w:rFonts w:ascii="Times New Roman" w:hAnsi="Times New Roman"/>
          <w:sz w:val="24"/>
          <w:szCs w:val="24"/>
        </w:rPr>
        <w:t xml:space="preserve"> apenas de setores que atuam na mesma área ou de setores diversificados. Os conceitos introduzidos por </w:t>
      </w:r>
      <w:proofErr w:type="spellStart"/>
      <w:r w:rsidR="000B39F7">
        <w:rPr>
          <w:rFonts w:ascii="Times New Roman" w:hAnsi="Times New Roman"/>
          <w:sz w:val="24"/>
          <w:szCs w:val="24"/>
        </w:rPr>
        <w:t>Frenken</w:t>
      </w:r>
      <w:proofErr w:type="spellEnd"/>
      <w:r w:rsidR="000B39F7">
        <w:rPr>
          <w:rFonts w:ascii="Times New Roman" w:hAnsi="Times New Roman"/>
          <w:sz w:val="24"/>
          <w:szCs w:val="24"/>
        </w:rPr>
        <w:t xml:space="preserve"> </w:t>
      </w:r>
      <w:r w:rsidR="000B39F7">
        <w:rPr>
          <w:rFonts w:ascii="Times New Roman" w:hAnsi="Times New Roman"/>
          <w:i/>
          <w:sz w:val="24"/>
          <w:szCs w:val="24"/>
        </w:rPr>
        <w:t>et al</w:t>
      </w:r>
      <w:r w:rsidR="000B39F7">
        <w:rPr>
          <w:rFonts w:ascii="Times New Roman" w:hAnsi="Times New Roman"/>
          <w:sz w:val="24"/>
          <w:szCs w:val="24"/>
        </w:rPr>
        <w:t>. (2007) destacam a necessidade de conhecimentos relacionados para que ocorra transbordamentos e crescimento.</w:t>
      </w:r>
    </w:p>
    <w:p w14:paraId="248F2AB5" w14:textId="3F2A91F9" w:rsidR="00AD2979" w:rsidRDefault="00E030F8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794A">
        <w:rPr>
          <w:rFonts w:ascii="Times New Roman" w:hAnsi="Times New Roman"/>
          <w:sz w:val="24"/>
          <w:szCs w:val="24"/>
        </w:rPr>
        <w:t xml:space="preserve">A maioria dos trabalhos empíricos sobre essa temática analisa as relações de variedade sob um enfoque de transações econômicas entre os setores (FRENKEN </w:t>
      </w:r>
      <w:r w:rsidRPr="00D9794A">
        <w:rPr>
          <w:rFonts w:ascii="Times New Roman" w:hAnsi="Times New Roman"/>
          <w:i/>
          <w:sz w:val="24"/>
          <w:szCs w:val="24"/>
        </w:rPr>
        <w:t>et al</w:t>
      </w:r>
      <w:r w:rsidRPr="00D9794A">
        <w:rPr>
          <w:rFonts w:ascii="Times New Roman" w:hAnsi="Times New Roman"/>
          <w:sz w:val="24"/>
          <w:szCs w:val="24"/>
        </w:rPr>
        <w:t xml:space="preserve">., 2007; O’HUALLACHÁIN e LEE, 2011; HARTOG </w:t>
      </w:r>
      <w:r w:rsidRPr="00D9794A">
        <w:rPr>
          <w:rFonts w:ascii="Times New Roman" w:hAnsi="Times New Roman"/>
          <w:i/>
          <w:sz w:val="24"/>
          <w:szCs w:val="24"/>
        </w:rPr>
        <w:t>et al</w:t>
      </w:r>
      <w:r w:rsidRPr="00D9794A">
        <w:rPr>
          <w:rFonts w:ascii="Times New Roman" w:hAnsi="Times New Roman"/>
          <w:sz w:val="24"/>
          <w:szCs w:val="24"/>
        </w:rPr>
        <w:t xml:space="preserve">., 2012). Os trabalhos de </w:t>
      </w:r>
      <w:proofErr w:type="spellStart"/>
      <w:r w:rsidR="00AD2979" w:rsidRPr="007F2961">
        <w:rPr>
          <w:rFonts w:ascii="Times New Roman" w:hAnsi="Times New Roman"/>
          <w:sz w:val="24"/>
          <w:szCs w:val="24"/>
        </w:rPr>
        <w:t>Boschma</w:t>
      </w:r>
      <w:proofErr w:type="spellEnd"/>
      <w:r w:rsidR="00AD2979" w:rsidRPr="007F2961">
        <w:rPr>
          <w:rFonts w:ascii="Times New Roman" w:hAnsi="Times New Roman"/>
          <w:sz w:val="24"/>
          <w:szCs w:val="24"/>
        </w:rPr>
        <w:t xml:space="preserve"> </w:t>
      </w:r>
      <w:r w:rsidR="00AD2979" w:rsidRPr="007F2961">
        <w:rPr>
          <w:rFonts w:ascii="Times New Roman" w:hAnsi="Times New Roman"/>
          <w:i/>
          <w:sz w:val="24"/>
          <w:szCs w:val="24"/>
        </w:rPr>
        <w:t>et al</w:t>
      </w:r>
      <w:r w:rsidR="00AD2979" w:rsidRPr="007F2961">
        <w:rPr>
          <w:rFonts w:ascii="Times New Roman" w:hAnsi="Times New Roman"/>
          <w:sz w:val="24"/>
          <w:szCs w:val="24"/>
        </w:rPr>
        <w:t>. (2009</w:t>
      </w:r>
      <w:r w:rsidR="00BD68A8">
        <w:rPr>
          <w:rFonts w:ascii="Times New Roman" w:hAnsi="Times New Roman"/>
          <w:sz w:val="24"/>
          <w:szCs w:val="24"/>
        </w:rPr>
        <w:t>,</w:t>
      </w:r>
      <w:r w:rsidR="00AD2979" w:rsidRPr="00D9794A">
        <w:rPr>
          <w:rFonts w:ascii="Times New Roman" w:hAnsi="Times New Roman"/>
          <w:sz w:val="24"/>
          <w:szCs w:val="24"/>
        </w:rPr>
        <w:t xml:space="preserve">2014) e </w:t>
      </w:r>
      <w:proofErr w:type="spellStart"/>
      <w:r w:rsidR="00AD2979" w:rsidRPr="00D9794A">
        <w:rPr>
          <w:rFonts w:ascii="Times New Roman" w:hAnsi="Times New Roman"/>
          <w:sz w:val="24"/>
          <w:szCs w:val="24"/>
        </w:rPr>
        <w:t>Simonen</w:t>
      </w:r>
      <w:proofErr w:type="spellEnd"/>
      <w:r w:rsidR="00AD2979" w:rsidRPr="00D9794A">
        <w:rPr>
          <w:rFonts w:ascii="Times New Roman" w:hAnsi="Times New Roman"/>
          <w:sz w:val="24"/>
          <w:szCs w:val="24"/>
        </w:rPr>
        <w:t xml:space="preserve"> </w:t>
      </w:r>
      <w:r w:rsidR="00AD2979" w:rsidRPr="00D9794A">
        <w:rPr>
          <w:rFonts w:ascii="Times New Roman" w:hAnsi="Times New Roman"/>
          <w:i/>
          <w:sz w:val="24"/>
          <w:szCs w:val="24"/>
        </w:rPr>
        <w:t>et al</w:t>
      </w:r>
      <w:r w:rsidR="00AD2979" w:rsidRPr="00D9794A">
        <w:rPr>
          <w:rFonts w:ascii="Times New Roman" w:hAnsi="Times New Roman"/>
          <w:sz w:val="24"/>
          <w:szCs w:val="24"/>
        </w:rPr>
        <w:t xml:space="preserve">. (2016) expandem o conceito de variedade relacionada e não relacionada de </w:t>
      </w:r>
      <w:proofErr w:type="spellStart"/>
      <w:r w:rsidR="00AD2979" w:rsidRPr="00D9794A">
        <w:rPr>
          <w:rFonts w:ascii="Times New Roman" w:hAnsi="Times New Roman"/>
          <w:sz w:val="24"/>
          <w:szCs w:val="24"/>
        </w:rPr>
        <w:t>Frenken</w:t>
      </w:r>
      <w:proofErr w:type="spellEnd"/>
      <w:r w:rsidR="00AD2979" w:rsidRPr="00D9794A">
        <w:rPr>
          <w:rFonts w:ascii="Times New Roman" w:hAnsi="Times New Roman"/>
          <w:sz w:val="24"/>
          <w:szCs w:val="24"/>
        </w:rPr>
        <w:t xml:space="preserve"> </w:t>
      </w:r>
      <w:r w:rsidR="00AD2979" w:rsidRPr="00D9794A">
        <w:rPr>
          <w:rFonts w:ascii="Times New Roman" w:hAnsi="Times New Roman"/>
          <w:i/>
          <w:sz w:val="24"/>
          <w:szCs w:val="24"/>
        </w:rPr>
        <w:t>et al</w:t>
      </w:r>
      <w:r w:rsidR="00AD2979" w:rsidRPr="00D9794A">
        <w:rPr>
          <w:rFonts w:ascii="Times New Roman" w:hAnsi="Times New Roman"/>
          <w:sz w:val="24"/>
          <w:szCs w:val="24"/>
        </w:rPr>
        <w:t xml:space="preserve">. (2007) para fluxos de migração de mão de obra. A ideia desses autores é que </w:t>
      </w:r>
      <w:r w:rsidR="00B273A6">
        <w:rPr>
          <w:rFonts w:ascii="Times New Roman" w:hAnsi="Times New Roman"/>
          <w:sz w:val="24"/>
          <w:szCs w:val="24"/>
        </w:rPr>
        <w:t>est</w:t>
      </w:r>
      <w:r w:rsidR="00AD2979" w:rsidRPr="00D9794A">
        <w:rPr>
          <w:rFonts w:ascii="Times New Roman" w:hAnsi="Times New Roman"/>
          <w:sz w:val="24"/>
          <w:szCs w:val="24"/>
        </w:rPr>
        <w:t xml:space="preserve">a migração terá um impacto positivo caso as habilidades dos indivíduos sejam complementares às das </w:t>
      </w:r>
      <w:r w:rsidR="009847A4" w:rsidRPr="00D9794A">
        <w:rPr>
          <w:rFonts w:ascii="Times New Roman" w:hAnsi="Times New Roman"/>
          <w:sz w:val="24"/>
          <w:szCs w:val="24"/>
        </w:rPr>
        <w:t>firmas</w:t>
      </w:r>
      <w:r w:rsidR="009847A4">
        <w:rPr>
          <w:rFonts w:ascii="Times New Roman" w:hAnsi="Times New Roman"/>
          <w:sz w:val="24"/>
          <w:szCs w:val="24"/>
        </w:rPr>
        <w:t>,</w:t>
      </w:r>
      <w:r w:rsidR="009847A4" w:rsidRPr="00D9794A">
        <w:rPr>
          <w:rFonts w:ascii="Times New Roman" w:hAnsi="Times New Roman"/>
          <w:sz w:val="24"/>
          <w:szCs w:val="24"/>
        </w:rPr>
        <w:t xml:space="preserve"> sendo</w:t>
      </w:r>
      <w:r w:rsidR="00AD2979" w:rsidRPr="00D9794A">
        <w:rPr>
          <w:rFonts w:ascii="Times New Roman" w:hAnsi="Times New Roman"/>
          <w:sz w:val="24"/>
          <w:szCs w:val="24"/>
        </w:rPr>
        <w:t xml:space="preserve"> a mobilidade condição necessária, mas não suficiente</w:t>
      </w:r>
      <w:r w:rsidR="005E54FB">
        <w:rPr>
          <w:rFonts w:ascii="Times New Roman" w:hAnsi="Times New Roman"/>
          <w:sz w:val="24"/>
          <w:szCs w:val="24"/>
        </w:rPr>
        <w:t>,</w:t>
      </w:r>
      <w:r w:rsidR="00AD2979" w:rsidRPr="00D9794A">
        <w:rPr>
          <w:rFonts w:ascii="Times New Roman" w:hAnsi="Times New Roman"/>
          <w:sz w:val="24"/>
          <w:szCs w:val="24"/>
        </w:rPr>
        <w:t xml:space="preserve"> para gerar transbordamentos. </w:t>
      </w:r>
      <w:r w:rsidR="00B273A6">
        <w:rPr>
          <w:rFonts w:ascii="Times New Roman" w:hAnsi="Times New Roman"/>
          <w:sz w:val="24"/>
          <w:szCs w:val="24"/>
        </w:rPr>
        <w:t>Assim, é</w:t>
      </w:r>
      <w:r w:rsidR="00B273A6" w:rsidRPr="00D9794A">
        <w:rPr>
          <w:rFonts w:ascii="Times New Roman" w:hAnsi="Times New Roman"/>
          <w:sz w:val="24"/>
          <w:szCs w:val="24"/>
        </w:rPr>
        <w:t xml:space="preserve"> </w:t>
      </w:r>
      <w:r w:rsidR="00AD2979" w:rsidRPr="00D9794A">
        <w:rPr>
          <w:rFonts w:ascii="Times New Roman" w:hAnsi="Times New Roman"/>
          <w:sz w:val="24"/>
          <w:szCs w:val="24"/>
        </w:rPr>
        <w:t xml:space="preserve">preciso </w:t>
      </w:r>
      <w:r w:rsidR="00B273A6">
        <w:rPr>
          <w:rFonts w:ascii="Times New Roman" w:hAnsi="Times New Roman"/>
          <w:sz w:val="24"/>
          <w:szCs w:val="24"/>
        </w:rPr>
        <w:t xml:space="preserve">ainda </w:t>
      </w:r>
      <w:r w:rsidR="00AD2979" w:rsidRPr="00D9794A">
        <w:rPr>
          <w:rFonts w:ascii="Times New Roman" w:hAnsi="Times New Roman"/>
          <w:sz w:val="24"/>
          <w:szCs w:val="24"/>
        </w:rPr>
        <w:t>uma proximidade da área de atuação do trabalhador com a área de atuação da empresa de destino.</w:t>
      </w:r>
    </w:p>
    <w:p w14:paraId="568D8715" w14:textId="4F7CA9CC" w:rsidR="00F542A6" w:rsidRDefault="00C90113" w:rsidP="007B4599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Bosc</w:t>
      </w:r>
      <w:r w:rsidR="001B13C5">
        <w:rPr>
          <w:rFonts w:ascii="Times New Roman" w:hAnsi="Times New Roman"/>
          <w:sz w:val="24"/>
          <w:szCs w:val="24"/>
        </w:rPr>
        <w:t>hm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>. (2009) af</w:t>
      </w:r>
      <w:r w:rsidR="00E87572">
        <w:rPr>
          <w:rFonts w:ascii="Times New Roman" w:hAnsi="Times New Roman"/>
          <w:sz w:val="24"/>
          <w:szCs w:val="24"/>
        </w:rPr>
        <w:t>irmam que</w:t>
      </w:r>
      <w:r w:rsidR="005E54FB">
        <w:rPr>
          <w:rFonts w:ascii="Times New Roman" w:hAnsi="Times New Roman"/>
          <w:sz w:val="24"/>
          <w:szCs w:val="24"/>
        </w:rPr>
        <w:t xml:space="preserve"> o</w:t>
      </w:r>
      <w:r w:rsidR="00E87572">
        <w:rPr>
          <w:rFonts w:ascii="Times New Roman" w:hAnsi="Times New Roman"/>
          <w:sz w:val="24"/>
          <w:szCs w:val="24"/>
        </w:rPr>
        <w:t xml:space="preserve"> conhecimento adquirido através da mobilidade de mão de obra não pode </w:t>
      </w:r>
      <w:r w:rsidR="005E54FB">
        <w:rPr>
          <w:rFonts w:ascii="Times New Roman" w:hAnsi="Times New Roman"/>
          <w:sz w:val="24"/>
          <w:szCs w:val="24"/>
        </w:rPr>
        <w:t xml:space="preserve">nem </w:t>
      </w:r>
      <w:r w:rsidR="00E87572">
        <w:rPr>
          <w:rFonts w:ascii="Times New Roman" w:hAnsi="Times New Roman"/>
          <w:sz w:val="24"/>
          <w:szCs w:val="24"/>
        </w:rPr>
        <w:t xml:space="preserve">ser idêntico ao da firma, nem muito diferente. </w:t>
      </w:r>
      <w:r w:rsidR="00E87572">
        <w:rPr>
          <w:rFonts w:ascii="Times New Roman" w:hAnsi="Times New Roman"/>
          <w:sz w:val="24"/>
          <w:szCs w:val="24"/>
        </w:rPr>
        <w:lastRenderedPageBreak/>
        <w:t xml:space="preserve">Para </w:t>
      </w:r>
      <w:r w:rsidR="000C70E3">
        <w:rPr>
          <w:rFonts w:ascii="Times New Roman" w:hAnsi="Times New Roman"/>
          <w:sz w:val="24"/>
          <w:szCs w:val="24"/>
        </w:rPr>
        <w:t xml:space="preserve">que </w:t>
      </w:r>
      <w:r w:rsidR="00E87572">
        <w:rPr>
          <w:rFonts w:ascii="Times New Roman" w:hAnsi="Times New Roman"/>
          <w:sz w:val="24"/>
          <w:szCs w:val="24"/>
        </w:rPr>
        <w:t>o transbordamento exista</w:t>
      </w:r>
      <w:r w:rsidR="005E54FB">
        <w:rPr>
          <w:rFonts w:ascii="Times New Roman" w:hAnsi="Times New Roman"/>
          <w:sz w:val="24"/>
          <w:szCs w:val="24"/>
        </w:rPr>
        <w:t>,</w:t>
      </w:r>
      <w:r w:rsidR="00E87572">
        <w:rPr>
          <w:rFonts w:ascii="Times New Roman" w:hAnsi="Times New Roman"/>
          <w:sz w:val="24"/>
          <w:szCs w:val="24"/>
        </w:rPr>
        <w:t xml:space="preserve"> é preciso que o fluxo de mão de obra migrante seja relacionado com o conhecimento já existente da firma, de modo que esta possa absorv</w:t>
      </w:r>
      <w:r w:rsidR="005E54FB">
        <w:rPr>
          <w:rFonts w:ascii="Times New Roman" w:hAnsi="Times New Roman"/>
          <w:sz w:val="24"/>
          <w:szCs w:val="24"/>
        </w:rPr>
        <w:t>ê-lo</w:t>
      </w:r>
      <w:r w:rsidR="00E87572">
        <w:rPr>
          <w:rFonts w:ascii="Times New Roman" w:hAnsi="Times New Roman"/>
          <w:sz w:val="24"/>
          <w:szCs w:val="24"/>
        </w:rPr>
        <w:t xml:space="preserve"> </w:t>
      </w:r>
      <w:r w:rsidR="00B273A6">
        <w:rPr>
          <w:rFonts w:ascii="Times New Roman" w:hAnsi="Times New Roman"/>
          <w:sz w:val="24"/>
          <w:szCs w:val="24"/>
        </w:rPr>
        <w:t xml:space="preserve">de forma </w:t>
      </w:r>
      <w:r w:rsidR="00E87572">
        <w:rPr>
          <w:rFonts w:ascii="Times New Roman" w:hAnsi="Times New Roman"/>
          <w:sz w:val="24"/>
          <w:szCs w:val="24"/>
        </w:rPr>
        <w:t>mais eficaz.</w:t>
      </w:r>
    </w:p>
    <w:p w14:paraId="5F9208F4" w14:textId="77777777" w:rsidR="005A1E8E" w:rsidRDefault="005A1E8E" w:rsidP="007B4599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5BA5E09B" w14:textId="2DE562A1" w:rsidR="007B4599" w:rsidRPr="00FC0528" w:rsidRDefault="004B17F1" w:rsidP="00C01E4C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66A91">
        <w:rPr>
          <w:rFonts w:ascii="Times New Roman" w:hAnsi="Times New Roman"/>
          <w:b/>
          <w:sz w:val="24"/>
          <w:szCs w:val="24"/>
        </w:rPr>
        <w:t>DADOS</w:t>
      </w:r>
      <w:r w:rsidR="006B1DD0">
        <w:rPr>
          <w:rStyle w:val="Refdenotaderodap"/>
          <w:rFonts w:ascii="Times New Roman" w:hAnsi="Times New Roman"/>
          <w:b/>
          <w:sz w:val="24"/>
          <w:szCs w:val="24"/>
        </w:rPr>
        <w:footnoteReference w:id="3"/>
      </w:r>
    </w:p>
    <w:p w14:paraId="04677490" w14:textId="2EA31274" w:rsidR="00B10414" w:rsidRDefault="007D3352" w:rsidP="005E54F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Foi construído um painel dinâmico para os anos de 1996 a 2008. As fontes de dados foram a Relação Anual de Informações Sociais (RAIS), disponibilizada pelo Ministério do Trabalho e Emprego (MTE), Instituto Brasileiro de Geografia e Estatística (IBGE) e Pesquisa de Inovação (PINTEC).</w:t>
      </w:r>
      <w:r w:rsidR="00B10414">
        <w:rPr>
          <w:rFonts w:ascii="Times New Roman" w:hAnsi="Times New Roman"/>
          <w:sz w:val="24"/>
          <w:szCs w:val="24"/>
        </w:rPr>
        <w:t xml:space="preserve"> Os indicadores de mobilidade foram construídos a partir RAIS-MIGRA, uma base longitudinal anual que </w:t>
      </w:r>
      <w:r w:rsidR="00C708E2">
        <w:rPr>
          <w:rFonts w:ascii="Times New Roman" w:hAnsi="Times New Roman"/>
          <w:sz w:val="24"/>
          <w:szCs w:val="24"/>
        </w:rPr>
        <w:t xml:space="preserve">permite </w:t>
      </w:r>
      <w:r w:rsidR="00B10414">
        <w:rPr>
          <w:rFonts w:ascii="Times New Roman" w:hAnsi="Times New Roman"/>
          <w:sz w:val="24"/>
          <w:szCs w:val="24"/>
        </w:rPr>
        <w:t>acompanha</w:t>
      </w:r>
      <w:r w:rsidR="00C708E2">
        <w:rPr>
          <w:rFonts w:ascii="Times New Roman" w:hAnsi="Times New Roman"/>
          <w:sz w:val="24"/>
          <w:szCs w:val="24"/>
        </w:rPr>
        <w:t>r</w:t>
      </w:r>
      <w:r w:rsidR="00B10414">
        <w:rPr>
          <w:rFonts w:ascii="Times New Roman" w:hAnsi="Times New Roman"/>
          <w:sz w:val="24"/>
          <w:szCs w:val="24"/>
        </w:rPr>
        <w:t xml:space="preserve"> a mobilidade do indivíduo por meio do seu identificador no Programa de Identificação Social (PIS) e as empresas pelo Cadastro Nacional de Pessoa Jurídica (CNPJ). Os setores de atuação das firmas foram classificados segundo a Classificação Nacional de Atividades Econômicas (CNAE). </w:t>
      </w:r>
    </w:p>
    <w:p w14:paraId="0FEF7DC6" w14:textId="23AE4829" w:rsidR="004F4B17" w:rsidRDefault="00B10414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114A">
        <w:rPr>
          <w:rFonts w:ascii="Times New Roman" w:hAnsi="Times New Roman"/>
          <w:sz w:val="24"/>
          <w:szCs w:val="24"/>
        </w:rPr>
        <w:t xml:space="preserve">Os dados foram agregados de acordo com </w:t>
      </w:r>
      <w:r w:rsidR="005E54FB">
        <w:rPr>
          <w:rFonts w:ascii="Times New Roman" w:hAnsi="Times New Roman"/>
          <w:sz w:val="24"/>
          <w:szCs w:val="24"/>
        </w:rPr>
        <w:t xml:space="preserve">as </w:t>
      </w:r>
      <w:r w:rsidRPr="00F1114A">
        <w:rPr>
          <w:rFonts w:ascii="Times New Roman" w:hAnsi="Times New Roman"/>
          <w:sz w:val="24"/>
          <w:szCs w:val="24"/>
        </w:rPr>
        <w:t xml:space="preserve">Regiões de Influência das Cidades (REGIC), utilizando o nível de articulação urbana de </w:t>
      </w:r>
      <w:bookmarkStart w:id="0" w:name="_GoBack"/>
      <w:r w:rsidRPr="00F1114A">
        <w:rPr>
          <w:rFonts w:ascii="Times New Roman" w:hAnsi="Times New Roman"/>
          <w:sz w:val="24"/>
          <w:szCs w:val="24"/>
        </w:rPr>
        <w:t xml:space="preserve">Regiões </w:t>
      </w:r>
      <w:r>
        <w:rPr>
          <w:rFonts w:ascii="Times New Roman" w:hAnsi="Times New Roman"/>
          <w:sz w:val="24"/>
          <w:szCs w:val="24"/>
        </w:rPr>
        <w:t>Imediatas</w:t>
      </w:r>
      <w:r w:rsidRPr="00F1114A">
        <w:rPr>
          <w:rFonts w:ascii="Times New Roman" w:hAnsi="Times New Roman"/>
          <w:sz w:val="24"/>
          <w:szCs w:val="24"/>
        </w:rPr>
        <w:t xml:space="preserve"> de Articulação Urbana</w:t>
      </w:r>
      <w:r w:rsidR="005E54FB">
        <w:rPr>
          <w:rFonts w:ascii="Times New Roman" w:hAnsi="Times New Roman"/>
          <w:sz w:val="24"/>
          <w:szCs w:val="24"/>
        </w:rPr>
        <w:t>,</w:t>
      </w:r>
      <w:r w:rsidRPr="00F1114A">
        <w:rPr>
          <w:rFonts w:ascii="Times New Roman" w:hAnsi="Times New Roman"/>
          <w:sz w:val="24"/>
          <w:szCs w:val="24"/>
        </w:rPr>
        <w:t xml:space="preserve"> com um total de </w:t>
      </w:r>
      <w:r>
        <w:rPr>
          <w:rFonts w:ascii="Times New Roman" w:hAnsi="Times New Roman"/>
          <w:sz w:val="24"/>
          <w:szCs w:val="24"/>
        </w:rPr>
        <w:t>482</w:t>
      </w:r>
      <w:r w:rsidRPr="00F1114A">
        <w:rPr>
          <w:rFonts w:ascii="Times New Roman" w:hAnsi="Times New Roman"/>
          <w:sz w:val="24"/>
          <w:szCs w:val="24"/>
        </w:rPr>
        <w:t xml:space="preserve"> regiões</w:t>
      </w:r>
      <w:bookmarkEnd w:id="0"/>
      <w:r>
        <w:rPr>
          <w:rFonts w:ascii="Times New Roman" w:hAnsi="Times New Roman"/>
          <w:sz w:val="24"/>
          <w:szCs w:val="24"/>
        </w:rPr>
        <w:t>.</w:t>
      </w:r>
      <w:r w:rsidRPr="00F1114A">
        <w:rPr>
          <w:rFonts w:ascii="Times New Roman" w:hAnsi="Times New Roman"/>
          <w:sz w:val="24"/>
          <w:szCs w:val="24"/>
        </w:rPr>
        <w:t xml:space="preserve"> Desse modo, o trabalho apresenta </w:t>
      </w:r>
      <w:r>
        <w:rPr>
          <w:rFonts w:ascii="Times New Roman" w:hAnsi="Times New Roman"/>
          <w:sz w:val="24"/>
          <w:szCs w:val="24"/>
        </w:rPr>
        <w:t xml:space="preserve">6.266 </w:t>
      </w:r>
      <w:r w:rsidRPr="00F1114A">
        <w:rPr>
          <w:rFonts w:ascii="Times New Roman" w:hAnsi="Times New Roman"/>
          <w:sz w:val="24"/>
          <w:szCs w:val="24"/>
        </w:rPr>
        <w:t>observações</w:t>
      </w:r>
      <w:r>
        <w:rPr>
          <w:rFonts w:ascii="Times New Roman" w:hAnsi="Times New Roman"/>
          <w:sz w:val="24"/>
          <w:szCs w:val="24"/>
        </w:rPr>
        <w:t xml:space="preserve">, ou seja, 482 </w:t>
      </w:r>
      <w:r w:rsidR="001B13C5">
        <w:rPr>
          <w:rFonts w:ascii="Times New Roman" w:hAnsi="Times New Roman"/>
          <w:sz w:val="24"/>
          <w:szCs w:val="24"/>
        </w:rPr>
        <w:t xml:space="preserve">regiões consideradas </w:t>
      </w:r>
      <w:r w:rsidR="005E54FB">
        <w:rPr>
          <w:rFonts w:ascii="Times New Roman" w:hAnsi="Times New Roman"/>
          <w:sz w:val="24"/>
          <w:szCs w:val="24"/>
        </w:rPr>
        <w:t xml:space="preserve">num </w:t>
      </w:r>
      <w:r w:rsidR="001B13C5">
        <w:rPr>
          <w:rFonts w:ascii="Times New Roman" w:hAnsi="Times New Roman"/>
          <w:sz w:val="24"/>
          <w:szCs w:val="24"/>
        </w:rPr>
        <w:t xml:space="preserve">período </w:t>
      </w:r>
      <w:r>
        <w:rPr>
          <w:rFonts w:ascii="Times New Roman" w:hAnsi="Times New Roman"/>
          <w:sz w:val="24"/>
          <w:szCs w:val="24"/>
        </w:rPr>
        <w:t>de treze anos</w:t>
      </w:r>
      <w:r w:rsidR="0092267E">
        <w:rPr>
          <w:rFonts w:ascii="Times New Roman" w:hAnsi="Times New Roman"/>
          <w:sz w:val="24"/>
          <w:szCs w:val="24"/>
        </w:rPr>
        <w:t xml:space="preserve"> (IBGE, 2008)</w:t>
      </w:r>
      <w:r w:rsidRPr="00F1114A">
        <w:rPr>
          <w:rFonts w:ascii="Times New Roman" w:hAnsi="Times New Roman"/>
          <w:sz w:val="24"/>
          <w:szCs w:val="24"/>
        </w:rPr>
        <w:t>.</w:t>
      </w:r>
    </w:p>
    <w:p w14:paraId="5127AC04" w14:textId="77777777" w:rsidR="00D005DD" w:rsidRDefault="00D005DD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1B8D704" w14:textId="77777777" w:rsidR="000B6FFD" w:rsidRDefault="000B6FFD" w:rsidP="006B1DD0">
      <w:pPr>
        <w:pStyle w:val="PargrafodaLista"/>
        <w:numPr>
          <w:ilvl w:val="1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6A91">
        <w:rPr>
          <w:rFonts w:ascii="Times New Roman" w:hAnsi="Times New Roman"/>
          <w:b/>
          <w:sz w:val="24"/>
          <w:szCs w:val="24"/>
        </w:rPr>
        <w:t xml:space="preserve"> VARIÁVEIS </w:t>
      </w:r>
    </w:p>
    <w:p w14:paraId="5B1D963C" w14:textId="0ACF2A35" w:rsidR="00696DDE" w:rsidRDefault="001B13C5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variável dependente principal do estudo é a</w:t>
      </w:r>
      <w:r w:rsidR="00F66A91">
        <w:rPr>
          <w:rFonts w:ascii="Times New Roman" w:hAnsi="Times New Roman"/>
          <w:sz w:val="24"/>
          <w:szCs w:val="24"/>
        </w:rPr>
        <w:t xml:space="preserve"> taxa de crescimento </w:t>
      </w:r>
      <w:r w:rsidR="00696DDE">
        <w:rPr>
          <w:rFonts w:ascii="Times New Roman" w:hAnsi="Times New Roman"/>
          <w:sz w:val="24"/>
          <w:szCs w:val="24"/>
        </w:rPr>
        <w:t xml:space="preserve">anual </w:t>
      </w:r>
      <w:r w:rsidR="00F66A91">
        <w:rPr>
          <w:rFonts w:ascii="Times New Roman" w:hAnsi="Times New Roman"/>
          <w:sz w:val="24"/>
          <w:szCs w:val="24"/>
        </w:rPr>
        <w:t>da remuneração m</w:t>
      </w:r>
      <w:r w:rsidR="00696DDE">
        <w:rPr>
          <w:rFonts w:ascii="Times New Roman" w:hAnsi="Times New Roman"/>
          <w:sz w:val="24"/>
          <w:szCs w:val="24"/>
        </w:rPr>
        <w:t>édia</w:t>
      </w:r>
      <w:r>
        <w:rPr>
          <w:rFonts w:ascii="Times New Roman" w:hAnsi="Times New Roman"/>
          <w:sz w:val="24"/>
          <w:szCs w:val="24"/>
        </w:rPr>
        <w:t xml:space="preserve">, </w:t>
      </w:r>
      <w:r w:rsidR="00696DDE">
        <w:rPr>
          <w:rFonts w:ascii="Times New Roman" w:hAnsi="Times New Roman"/>
          <w:sz w:val="24"/>
          <w:szCs w:val="24"/>
        </w:rPr>
        <w:t xml:space="preserve">utilizada como medida de </w:t>
      </w:r>
      <w:r>
        <w:rPr>
          <w:rFonts w:ascii="Times New Roman" w:hAnsi="Times New Roman"/>
          <w:sz w:val="24"/>
          <w:szCs w:val="24"/>
        </w:rPr>
        <w:t>desempenho/</w:t>
      </w:r>
      <w:r w:rsidR="00696DDE">
        <w:rPr>
          <w:rFonts w:ascii="Times New Roman" w:hAnsi="Times New Roman"/>
          <w:sz w:val="24"/>
          <w:szCs w:val="24"/>
        </w:rPr>
        <w:t xml:space="preserve">crescimento regional. Para </w:t>
      </w:r>
      <w:r w:rsidR="00C708E2">
        <w:rPr>
          <w:rFonts w:ascii="Times New Roman" w:hAnsi="Times New Roman"/>
          <w:sz w:val="24"/>
          <w:szCs w:val="24"/>
        </w:rPr>
        <w:t>calculá-la</w:t>
      </w:r>
      <w:r w:rsidR="001A19B8">
        <w:rPr>
          <w:rFonts w:ascii="Times New Roman" w:hAnsi="Times New Roman"/>
          <w:sz w:val="24"/>
          <w:szCs w:val="24"/>
        </w:rPr>
        <w:t>,</w:t>
      </w:r>
      <w:r w:rsidR="00696DDE">
        <w:rPr>
          <w:rFonts w:ascii="Times New Roman" w:hAnsi="Times New Roman"/>
          <w:sz w:val="24"/>
          <w:szCs w:val="24"/>
        </w:rPr>
        <w:t xml:space="preserve"> foi agregada a nível </w:t>
      </w:r>
      <w:proofErr w:type="spellStart"/>
      <w:r w:rsidR="00696DDE">
        <w:rPr>
          <w:rFonts w:ascii="Times New Roman" w:hAnsi="Times New Roman"/>
          <w:sz w:val="24"/>
          <w:szCs w:val="24"/>
        </w:rPr>
        <w:t>Regic</w:t>
      </w:r>
      <w:proofErr w:type="spellEnd"/>
      <w:r w:rsidR="00696DDE">
        <w:rPr>
          <w:rFonts w:ascii="Times New Roman" w:hAnsi="Times New Roman"/>
          <w:sz w:val="24"/>
          <w:szCs w:val="24"/>
        </w:rPr>
        <w:t xml:space="preserve"> a </w:t>
      </w:r>
      <w:r w:rsidR="00C708E2">
        <w:rPr>
          <w:rFonts w:ascii="Times New Roman" w:hAnsi="Times New Roman"/>
          <w:sz w:val="24"/>
          <w:szCs w:val="24"/>
        </w:rPr>
        <w:t xml:space="preserve">variável </w:t>
      </w:r>
      <w:r w:rsidR="00696DDE">
        <w:rPr>
          <w:rFonts w:ascii="Times New Roman" w:hAnsi="Times New Roman"/>
          <w:sz w:val="24"/>
          <w:szCs w:val="24"/>
        </w:rPr>
        <w:t xml:space="preserve">remuneração média anual </w:t>
      </w:r>
      <w:r w:rsidR="00651783">
        <w:rPr>
          <w:rFonts w:ascii="Times New Roman" w:hAnsi="Times New Roman"/>
          <w:sz w:val="24"/>
          <w:szCs w:val="24"/>
        </w:rPr>
        <w:t xml:space="preserve">dos trabalhadores, </w:t>
      </w:r>
      <w:r w:rsidR="00696DDE">
        <w:rPr>
          <w:rFonts w:ascii="Times New Roman" w:hAnsi="Times New Roman"/>
          <w:sz w:val="24"/>
          <w:szCs w:val="24"/>
        </w:rPr>
        <w:t>extraída a partir da RAIS</w:t>
      </w:r>
      <w:r w:rsidR="00C708E2">
        <w:rPr>
          <w:rFonts w:ascii="Times New Roman" w:hAnsi="Times New Roman"/>
          <w:sz w:val="24"/>
          <w:szCs w:val="24"/>
        </w:rPr>
        <w:t>. Em seguida,</w:t>
      </w:r>
      <w:r w:rsidR="00696DDE">
        <w:rPr>
          <w:rFonts w:ascii="Times New Roman" w:hAnsi="Times New Roman"/>
          <w:sz w:val="24"/>
          <w:szCs w:val="24"/>
        </w:rPr>
        <w:t xml:space="preserve"> </w:t>
      </w:r>
      <w:r w:rsidR="00651783">
        <w:rPr>
          <w:rFonts w:ascii="Times New Roman" w:hAnsi="Times New Roman"/>
          <w:sz w:val="24"/>
          <w:szCs w:val="24"/>
        </w:rPr>
        <w:t xml:space="preserve">foi </w:t>
      </w:r>
      <w:r w:rsidR="00696DDE">
        <w:rPr>
          <w:rFonts w:ascii="Times New Roman" w:hAnsi="Times New Roman"/>
          <w:sz w:val="24"/>
          <w:szCs w:val="24"/>
        </w:rPr>
        <w:t>calculada sua taxa de crescimento</w:t>
      </w:r>
      <w:r w:rsidR="00D5315B">
        <w:rPr>
          <w:rFonts w:ascii="Times New Roman" w:hAnsi="Times New Roman"/>
          <w:sz w:val="24"/>
          <w:szCs w:val="24"/>
        </w:rPr>
        <w:t xml:space="preserve"> anual</w:t>
      </w:r>
      <w:r w:rsidR="00696DDE">
        <w:rPr>
          <w:rFonts w:ascii="Times New Roman" w:hAnsi="Times New Roman"/>
          <w:sz w:val="24"/>
          <w:szCs w:val="24"/>
        </w:rPr>
        <w:t xml:space="preserve">. </w:t>
      </w:r>
      <w:r w:rsidR="00651783">
        <w:rPr>
          <w:rFonts w:ascii="Times New Roman" w:hAnsi="Times New Roman"/>
          <w:sz w:val="24"/>
          <w:szCs w:val="24"/>
        </w:rPr>
        <w:t>Os n</w:t>
      </w:r>
      <w:r>
        <w:rPr>
          <w:rFonts w:ascii="Times New Roman" w:hAnsi="Times New Roman"/>
          <w:sz w:val="24"/>
          <w:szCs w:val="24"/>
        </w:rPr>
        <w:t xml:space="preserve">íveis de emprego, também </w:t>
      </w:r>
      <w:r w:rsidR="00651783">
        <w:rPr>
          <w:rFonts w:ascii="Times New Roman" w:hAnsi="Times New Roman"/>
          <w:sz w:val="24"/>
          <w:szCs w:val="24"/>
        </w:rPr>
        <w:t xml:space="preserve">originários </w:t>
      </w:r>
      <w:r>
        <w:rPr>
          <w:rFonts w:ascii="Times New Roman" w:hAnsi="Times New Roman"/>
          <w:sz w:val="24"/>
          <w:szCs w:val="24"/>
        </w:rPr>
        <w:t xml:space="preserve">da RAIS, são usados para </w:t>
      </w:r>
      <w:r w:rsidR="00651783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cálculo da taxa de crescimento do emprego</w:t>
      </w:r>
      <w:r w:rsidR="00651783">
        <w:rPr>
          <w:rFonts w:ascii="Times New Roman" w:hAnsi="Times New Roman"/>
          <w:sz w:val="24"/>
          <w:szCs w:val="24"/>
        </w:rPr>
        <w:t xml:space="preserve">. Esta constitui uma </w:t>
      </w:r>
      <w:r>
        <w:rPr>
          <w:rFonts w:ascii="Times New Roman" w:hAnsi="Times New Roman"/>
          <w:sz w:val="24"/>
          <w:szCs w:val="24"/>
        </w:rPr>
        <w:t>medida de desempenho regional alternativa</w:t>
      </w:r>
      <w:r w:rsidR="00651783">
        <w:rPr>
          <w:rFonts w:ascii="Times New Roman" w:hAnsi="Times New Roman"/>
          <w:sz w:val="24"/>
          <w:szCs w:val="24"/>
        </w:rPr>
        <w:t xml:space="preserve"> utilizada como</w:t>
      </w:r>
      <w:r>
        <w:rPr>
          <w:rFonts w:ascii="Times New Roman" w:hAnsi="Times New Roman"/>
          <w:sz w:val="24"/>
          <w:szCs w:val="24"/>
        </w:rPr>
        <w:t xml:space="preserve"> teste de robustez dos resultados obtidos com a primeira variável dependente. </w:t>
      </w:r>
    </w:p>
    <w:p w14:paraId="19195749" w14:textId="5E658F1D" w:rsidR="00BB3652" w:rsidRPr="00BB3652" w:rsidRDefault="00BB3652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3652">
        <w:rPr>
          <w:rFonts w:ascii="Times New Roman" w:hAnsi="Times New Roman"/>
          <w:sz w:val="24"/>
          <w:szCs w:val="24"/>
        </w:rPr>
        <w:t>As variáveis explicativas foram construídas utilizando medidas de entropia</w:t>
      </w:r>
      <w:r w:rsidR="00AF0042">
        <w:rPr>
          <w:rFonts w:ascii="Times New Roman" w:hAnsi="Times New Roman"/>
          <w:sz w:val="24"/>
          <w:szCs w:val="24"/>
        </w:rPr>
        <w:t>,</w:t>
      </w:r>
      <w:r w:rsidR="00165CC1">
        <w:rPr>
          <w:rFonts w:ascii="Times New Roman" w:hAnsi="Times New Roman"/>
          <w:sz w:val="24"/>
          <w:szCs w:val="24"/>
        </w:rPr>
        <w:t xml:space="preserve"> baseadas na decomposição setorial</w:t>
      </w:r>
      <w:r w:rsidR="00AF0042">
        <w:rPr>
          <w:rFonts w:ascii="Times New Roman" w:hAnsi="Times New Roman"/>
          <w:sz w:val="24"/>
          <w:szCs w:val="24"/>
        </w:rPr>
        <w:t>,</w:t>
      </w:r>
      <w:r w:rsidRPr="00BB3652">
        <w:rPr>
          <w:rFonts w:ascii="Times New Roman" w:hAnsi="Times New Roman"/>
          <w:sz w:val="24"/>
          <w:szCs w:val="24"/>
        </w:rPr>
        <w:t xml:space="preserve"> semelhante </w:t>
      </w:r>
      <w:r w:rsidR="001A19B8">
        <w:rPr>
          <w:rFonts w:ascii="Times New Roman" w:hAnsi="Times New Roman"/>
          <w:sz w:val="24"/>
          <w:szCs w:val="24"/>
        </w:rPr>
        <w:t>a</w:t>
      </w:r>
      <w:r w:rsidRPr="00BB3652">
        <w:rPr>
          <w:rFonts w:ascii="Times New Roman" w:hAnsi="Times New Roman"/>
          <w:sz w:val="24"/>
          <w:szCs w:val="24"/>
        </w:rPr>
        <w:t xml:space="preserve"> outros trabalhos </w:t>
      </w:r>
      <w:r w:rsidR="00651783">
        <w:rPr>
          <w:rFonts w:ascii="Times New Roman" w:hAnsi="Times New Roman"/>
          <w:sz w:val="24"/>
          <w:szCs w:val="24"/>
        </w:rPr>
        <w:t>d</w:t>
      </w:r>
      <w:r w:rsidRPr="00BB3652">
        <w:rPr>
          <w:rFonts w:ascii="Times New Roman" w:hAnsi="Times New Roman"/>
          <w:sz w:val="24"/>
          <w:szCs w:val="24"/>
        </w:rPr>
        <w:t xml:space="preserve">a área (FREKEN </w:t>
      </w:r>
      <w:r w:rsidRPr="00FA5DDE">
        <w:rPr>
          <w:rFonts w:ascii="Times New Roman" w:hAnsi="Times New Roman"/>
          <w:i/>
          <w:sz w:val="24"/>
          <w:szCs w:val="24"/>
        </w:rPr>
        <w:t>et al</w:t>
      </w:r>
      <w:r w:rsidRPr="00BB3652">
        <w:rPr>
          <w:rFonts w:ascii="Times New Roman" w:hAnsi="Times New Roman"/>
          <w:sz w:val="24"/>
          <w:szCs w:val="24"/>
        </w:rPr>
        <w:t xml:space="preserve">., 2007; BOSCHMA </w:t>
      </w:r>
      <w:r w:rsidRPr="00FA5DDE">
        <w:rPr>
          <w:rFonts w:ascii="Times New Roman" w:hAnsi="Times New Roman"/>
          <w:i/>
          <w:sz w:val="24"/>
          <w:szCs w:val="24"/>
        </w:rPr>
        <w:t>et al</w:t>
      </w:r>
      <w:r w:rsidRPr="00BB3652">
        <w:rPr>
          <w:rFonts w:ascii="Times New Roman" w:hAnsi="Times New Roman"/>
          <w:sz w:val="24"/>
          <w:szCs w:val="24"/>
        </w:rPr>
        <w:t xml:space="preserve">., 2009; BOSCHMA </w:t>
      </w:r>
      <w:r w:rsidRPr="00FA5DDE">
        <w:rPr>
          <w:rFonts w:ascii="Times New Roman" w:hAnsi="Times New Roman"/>
          <w:i/>
          <w:sz w:val="24"/>
          <w:szCs w:val="24"/>
        </w:rPr>
        <w:t>et al</w:t>
      </w:r>
      <w:r w:rsidRPr="00BB3652">
        <w:rPr>
          <w:rFonts w:ascii="Times New Roman" w:hAnsi="Times New Roman"/>
          <w:sz w:val="24"/>
          <w:szCs w:val="24"/>
        </w:rPr>
        <w:t xml:space="preserve">., 2014). </w:t>
      </w:r>
      <w:r w:rsidR="00651783">
        <w:rPr>
          <w:rFonts w:ascii="Times New Roman" w:hAnsi="Times New Roman"/>
          <w:sz w:val="24"/>
          <w:szCs w:val="24"/>
        </w:rPr>
        <w:t>Adicionalmente, f</w:t>
      </w:r>
      <w:r w:rsidRPr="00BB3652">
        <w:rPr>
          <w:rFonts w:ascii="Times New Roman" w:hAnsi="Times New Roman"/>
          <w:sz w:val="24"/>
          <w:szCs w:val="24"/>
        </w:rPr>
        <w:t>oram construídos indicadores de mobilidade</w:t>
      </w:r>
      <w:r w:rsidR="00E22C7E">
        <w:rPr>
          <w:rStyle w:val="Refdenotaderodap"/>
          <w:rFonts w:ascii="Times New Roman" w:hAnsi="Times New Roman"/>
          <w:sz w:val="24"/>
          <w:szCs w:val="24"/>
        </w:rPr>
        <w:footnoteReference w:id="4"/>
      </w:r>
      <w:r w:rsidRPr="00BB3652">
        <w:rPr>
          <w:rFonts w:ascii="Times New Roman" w:hAnsi="Times New Roman"/>
          <w:sz w:val="24"/>
          <w:szCs w:val="24"/>
        </w:rPr>
        <w:t xml:space="preserve"> a partir da RAIS-MIGRA</w:t>
      </w:r>
      <w:r w:rsidR="00651783">
        <w:rPr>
          <w:rFonts w:ascii="Times New Roman" w:hAnsi="Times New Roman"/>
          <w:sz w:val="24"/>
          <w:szCs w:val="24"/>
        </w:rPr>
        <w:t>. Para tal,</w:t>
      </w:r>
      <w:r w:rsidRPr="00BB3652">
        <w:rPr>
          <w:rFonts w:ascii="Times New Roman" w:hAnsi="Times New Roman"/>
          <w:sz w:val="24"/>
          <w:szCs w:val="24"/>
        </w:rPr>
        <w:t xml:space="preserve"> </w:t>
      </w:r>
      <w:r w:rsidR="00D5315B">
        <w:rPr>
          <w:rFonts w:ascii="Times New Roman" w:hAnsi="Times New Roman"/>
          <w:sz w:val="24"/>
          <w:szCs w:val="24"/>
        </w:rPr>
        <w:t>a classificação d</w:t>
      </w:r>
      <w:r w:rsidRPr="00BB3652">
        <w:rPr>
          <w:rFonts w:ascii="Times New Roman" w:hAnsi="Times New Roman"/>
          <w:sz w:val="24"/>
          <w:szCs w:val="24"/>
        </w:rPr>
        <w:t xml:space="preserve">os setores </w:t>
      </w:r>
      <w:r w:rsidR="00D5315B">
        <w:rPr>
          <w:rFonts w:ascii="Times New Roman" w:hAnsi="Times New Roman"/>
          <w:sz w:val="24"/>
          <w:szCs w:val="24"/>
        </w:rPr>
        <w:t xml:space="preserve">utilizada estavam </w:t>
      </w:r>
      <w:r w:rsidRPr="00BB3652">
        <w:rPr>
          <w:rFonts w:ascii="Times New Roman" w:hAnsi="Times New Roman"/>
          <w:sz w:val="24"/>
          <w:szCs w:val="24"/>
        </w:rPr>
        <w:t xml:space="preserve">agregados em dois dígitos (Divisão) e quatro dígitos (Classe). </w:t>
      </w:r>
      <w:r w:rsidR="00D5315B">
        <w:rPr>
          <w:rFonts w:ascii="Times New Roman" w:hAnsi="Times New Roman"/>
          <w:sz w:val="24"/>
          <w:szCs w:val="24"/>
        </w:rPr>
        <w:t>Sendo assim, s</w:t>
      </w:r>
      <w:r w:rsidRPr="00BB3652">
        <w:rPr>
          <w:rFonts w:ascii="Times New Roman" w:hAnsi="Times New Roman"/>
          <w:sz w:val="24"/>
          <w:szCs w:val="24"/>
        </w:rPr>
        <w:t xml:space="preserve">ão </w:t>
      </w:r>
      <w:r w:rsidR="007A1E06">
        <w:rPr>
          <w:rFonts w:ascii="Times New Roman" w:hAnsi="Times New Roman"/>
          <w:sz w:val="24"/>
          <w:szCs w:val="24"/>
        </w:rPr>
        <w:t xml:space="preserve">considerados </w:t>
      </w:r>
      <w:r w:rsidRPr="00BB3652">
        <w:rPr>
          <w:rFonts w:ascii="Times New Roman" w:hAnsi="Times New Roman"/>
          <w:sz w:val="24"/>
          <w:szCs w:val="24"/>
        </w:rPr>
        <w:t xml:space="preserve">três tipos de mobilidade: </w:t>
      </w:r>
      <w:r w:rsidR="001A19B8">
        <w:rPr>
          <w:rFonts w:ascii="Times New Roman" w:hAnsi="Times New Roman"/>
          <w:sz w:val="24"/>
          <w:szCs w:val="24"/>
        </w:rPr>
        <w:t xml:space="preserve">1) </w:t>
      </w:r>
      <w:r w:rsidRPr="00BB3652">
        <w:rPr>
          <w:rFonts w:ascii="Times New Roman" w:hAnsi="Times New Roman"/>
          <w:sz w:val="24"/>
          <w:szCs w:val="24"/>
        </w:rPr>
        <w:t xml:space="preserve">inter-regional, caso </w:t>
      </w:r>
      <w:r w:rsidR="001A19B8">
        <w:rPr>
          <w:rFonts w:ascii="Times New Roman" w:hAnsi="Times New Roman"/>
          <w:sz w:val="24"/>
          <w:szCs w:val="24"/>
        </w:rPr>
        <w:t>em que o trabalhador</w:t>
      </w:r>
      <w:r w:rsidRPr="00BB3652">
        <w:rPr>
          <w:rFonts w:ascii="Times New Roman" w:hAnsi="Times New Roman"/>
          <w:sz w:val="24"/>
          <w:szCs w:val="24"/>
        </w:rPr>
        <w:t xml:space="preserve"> muda de firma e de </w:t>
      </w:r>
      <w:proofErr w:type="spellStart"/>
      <w:r w:rsidRPr="00BB3652">
        <w:rPr>
          <w:rFonts w:ascii="Times New Roman" w:hAnsi="Times New Roman"/>
          <w:sz w:val="24"/>
          <w:szCs w:val="24"/>
        </w:rPr>
        <w:t>Regic</w:t>
      </w:r>
      <w:proofErr w:type="spellEnd"/>
      <w:r w:rsidRPr="00BB3652">
        <w:rPr>
          <w:rFonts w:ascii="Times New Roman" w:hAnsi="Times New Roman"/>
          <w:sz w:val="24"/>
          <w:szCs w:val="24"/>
        </w:rPr>
        <w:t xml:space="preserve">; </w:t>
      </w:r>
      <w:r w:rsidR="001A19B8">
        <w:rPr>
          <w:rFonts w:ascii="Times New Roman" w:hAnsi="Times New Roman"/>
          <w:sz w:val="24"/>
          <w:szCs w:val="24"/>
        </w:rPr>
        <w:t xml:space="preserve">2) </w:t>
      </w:r>
      <w:r w:rsidRPr="00BB3652">
        <w:rPr>
          <w:rFonts w:ascii="Times New Roman" w:hAnsi="Times New Roman"/>
          <w:sz w:val="24"/>
          <w:szCs w:val="24"/>
        </w:rPr>
        <w:t>intrarregional</w:t>
      </w:r>
      <w:r w:rsidR="001A19B8">
        <w:rPr>
          <w:rFonts w:ascii="Times New Roman" w:hAnsi="Times New Roman"/>
          <w:sz w:val="24"/>
          <w:szCs w:val="24"/>
        </w:rPr>
        <w:t>,</w:t>
      </w:r>
      <w:r w:rsidRPr="00BB3652">
        <w:rPr>
          <w:rFonts w:ascii="Times New Roman" w:hAnsi="Times New Roman"/>
          <w:sz w:val="24"/>
          <w:szCs w:val="24"/>
        </w:rPr>
        <w:t xml:space="preserve"> caso </w:t>
      </w:r>
      <w:r w:rsidR="001A19B8">
        <w:rPr>
          <w:rFonts w:ascii="Times New Roman" w:hAnsi="Times New Roman"/>
          <w:sz w:val="24"/>
          <w:szCs w:val="24"/>
        </w:rPr>
        <w:t>em que o</w:t>
      </w:r>
      <w:r w:rsidR="001A19B8" w:rsidRPr="00BB3652">
        <w:rPr>
          <w:rFonts w:ascii="Times New Roman" w:hAnsi="Times New Roman"/>
          <w:sz w:val="24"/>
          <w:szCs w:val="24"/>
        </w:rPr>
        <w:t xml:space="preserve"> </w:t>
      </w:r>
      <w:r w:rsidRPr="00BB3652">
        <w:rPr>
          <w:rFonts w:ascii="Times New Roman" w:hAnsi="Times New Roman"/>
          <w:sz w:val="24"/>
          <w:szCs w:val="24"/>
        </w:rPr>
        <w:t xml:space="preserve">indivíduo muda de firma, mas permanece na </w:t>
      </w:r>
      <w:proofErr w:type="spellStart"/>
      <w:r w:rsidRPr="00BB3652">
        <w:rPr>
          <w:rFonts w:ascii="Times New Roman" w:hAnsi="Times New Roman"/>
          <w:sz w:val="24"/>
          <w:szCs w:val="24"/>
        </w:rPr>
        <w:t>Regic</w:t>
      </w:r>
      <w:proofErr w:type="spellEnd"/>
      <w:r w:rsidRPr="00BB3652">
        <w:rPr>
          <w:rFonts w:ascii="Times New Roman" w:hAnsi="Times New Roman"/>
          <w:sz w:val="24"/>
          <w:szCs w:val="24"/>
        </w:rPr>
        <w:t>; e</w:t>
      </w:r>
      <w:r w:rsidR="001A19B8">
        <w:rPr>
          <w:rFonts w:ascii="Times New Roman" w:hAnsi="Times New Roman"/>
          <w:sz w:val="24"/>
          <w:szCs w:val="24"/>
        </w:rPr>
        <w:t xml:space="preserve"> 3) </w:t>
      </w:r>
      <w:r w:rsidRPr="00BB3652">
        <w:rPr>
          <w:rFonts w:ascii="Times New Roman" w:hAnsi="Times New Roman"/>
          <w:sz w:val="24"/>
          <w:szCs w:val="24"/>
        </w:rPr>
        <w:t xml:space="preserve">interfirma, </w:t>
      </w:r>
      <w:r w:rsidR="005A3CA9">
        <w:rPr>
          <w:rFonts w:ascii="Times New Roman" w:hAnsi="Times New Roman"/>
          <w:sz w:val="24"/>
          <w:szCs w:val="24"/>
        </w:rPr>
        <w:t>caso</w:t>
      </w:r>
      <w:r w:rsidR="00651783">
        <w:rPr>
          <w:rFonts w:ascii="Times New Roman" w:hAnsi="Times New Roman"/>
          <w:sz w:val="24"/>
          <w:szCs w:val="24"/>
        </w:rPr>
        <w:t xml:space="preserve"> em</w:t>
      </w:r>
      <w:r w:rsidR="005A3CA9">
        <w:rPr>
          <w:rFonts w:ascii="Times New Roman" w:hAnsi="Times New Roman"/>
          <w:sz w:val="24"/>
          <w:szCs w:val="24"/>
        </w:rPr>
        <w:t xml:space="preserve"> que não leva</w:t>
      </w:r>
      <w:r w:rsidR="00651783">
        <w:rPr>
          <w:rFonts w:ascii="Times New Roman" w:hAnsi="Times New Roman"/>
          <w:sz w:val="24"/>
          <w:szCs w:val="24"/>
        </w:rPr>
        <w:t>-se</w:t>
      </w:r>
      <w:r w:rsidR="005A3CA9">
        <w:rPr>
          <w:rFonts w:ascii="Times New Roman" w:hAnsi="Times New Roman"/>
          <w:sz w:val="24"/>
          <w:szCs w:val="24"/>
        </w:rPr>
        <w:t xml:space="preserve"> em conta </w:t>
      </w:r>
      <w:r w:rsidR="00D5315B">
        <w:rPr>
          <w:rFonts w:ascii="Times New Roman" w:hAnsi="Times New Roman"/>
          <w:sz w:val="24"/>
          <w:szCs w:val="24"/>
        </w:rPr>
        <w:t xml:space="preserve">em que </w:t>
      </w:r>
      <w:proofErr w:type="spellStart"/>
      <w:r w:rsidR="00D5315B">
        <w:rPr>
          <w:rFonts w:ascii="Times New Roman" w:hAnsi="Times New Roman"/>
          <w:sz w:val="24"/>
          <w:szCs w:val="24"/>
        </w:rPr>
        <w:t>Regic</w:t>
      </w:r>
      <w:proofErr w:type="spellEnd"/>
      <w:r w:rsidR="00D5315B">
        <w:rPr>
          <w:rFonts w:ascii="Times New Roman" w:hAnsi="Times New Roman"/>
          <w:sz w:val="24"/>
          <w:szCs w:val="24"/>
        </w:rPr>
        <w:t xml:space="preserve"> o trabalhador está</w:t>
      </w:r>
      <w:r w:rsidR="005A3CA9">
        <w:rPr>
          <w:rFonts w:ascii="Times New Roman" w:hAnsi="Times New Roman"/>
          <w:sz w:val="24"/>
          <w:szCs w:val="24"/>
        </w:rPr>
        <w:t xml:space="preserve">, apenas </w:t>
      </w:r>
      <w:r w:rsidR="00D5315B">
        <w:rPr>
          <w:rFonts w:ascii="Times New Roman" w:hAnsi="Times New Roman"/>
          <w:sz w:val="24"/>
          <w:szCs w:val="24"/>
        </w:rPr>
        <w:t>su</w:t>
      </w:r>
      <w:r w:rsidR="005A3CA9">
        <w:rPr>
          <w:rFonts w:ascii="Times New Roman" w:hAnsi="Times New Roman"/>
          <w:sz w:val="24"/>
          <w:szCs w:val="24"/>
        </w:rPr>
        <w:t>a mobilidade de firma</w:t>
      </w:r>
      <w:r w:rsidRPr="00BB3652">
        <w:rPr>
          <w:rFonts w:ascii="Times New Roman" w:hAnsi="Times New Roman"/>
          <w:sz w:val="24"/>
          <w:szCs w:val="24"/>
        </w:rPr>
        <w:t>.</w:t>
      </w:r>
    </w:p>
    <w:p w14:paraId="7C365D0A" w14:textId="793024B2" w:rsidR="00BB3652" w:rsidRDefault="00D5315B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Ademais, s</w:t>
      </w:r>
      <w:r w:rsidR="00BB3652" w:rsidRPr="00BB3652">
        <w:rPr>
          <w:rFonts w:ascii="Times New Roman" w:hAnsi="Times New Roman"/>
          <w:sz w:val="24"/>
          <w:szCs w:val="24"/>
        </w:rPr>
        <w:t xml:space="preserve">ão considerados apenas os fluxos de mão de obra qualificada, definida nesse trabalho como indivíduos com ensino superior completo, pois acredita-se que esse tipo de mão de obra possui um impacto maior no crescimento regional (FAGGIAN e MCCANN, 2009; BOSCHMA </w:t>
      </w:r>
      <w:r w:rsidR="00BB3652" w:rsidRPr="00FA5DDE">
        <w:rPr>
          <w:rFonts w:ascii="Times New Roman" w:hAnsi="Times New Roman"/>
          <w:i/>
          <w:sz w:val="24"/>
          <w:szCs w:val="24"/>
        </w:rPr>
        <w:t>et al</w:t>
      </w:r>
      <w:r w:rsidR="00BB3652" w:rsidRPr="00BB3652">
        <w:rPr>
          <w:rFonts w:ascii="Times New Roman" w:hAnsi="Times New Roman"/>
          <w:sz w:val="24"/>
          <w:szCs w:val="24"/>
        </w:rPr>
        <w:t>., 2014; FRATESI, 2014).</w:t>
      </w:r>
      <w:r w:rsidR="00E22C7E">
        <w:rPr>
          <w:rFonts w:ascii="Times New Roman" w:hAnsi="Times New Roman"/>
          <w:sz w:val="24"/>
          <w:szCs w:val="24"/>
        </w:rPr>
        <w:t xml:space="preserve"> Além disso, foi analisado </w:t>
      </w:r>
      <w:r w:rsidR="00E22C7E">
        <w:rPr>
          <w:rFonts w:ascii="Times New Roman" w:hAnsi="Times New Roman"/>
          <w:sz w:val="24"/>
          <w:szCs w:val="24"/>
        </w:rPr>
        <w:lastRenderedPageBreak/>
        <w:t xml:space="preserve">apenas </w:t>
      </w:r>
      <w:r w:rsidR="00D7695E">
        <w:rPr>
          <w:rFonts w:ascii="Times New Roman" w:hAnsi="Times New Roman"/>
          <w:sz w:val="24"/>
          <w:szCs w:val="24"/>
        </w:rPr>
        <w:t>os trabalhadores de</w:t>
      </w:r>
      <w:r w:rsidR="00E22C7E">
        <w:rPr>
          <w:rFonts w:ascii="Times New Roman" w:hAnsi="Times New Roman"/>
          <w:sz w:val="24"/>
          <w:szCs w:val="24"/>
        </w:rPr>
        <w:t xml:space="preserve"> setores da indústria extrativa e da indústria de transformação</w:t>
      </w:r>
      <w:r w:rsidR="000025E5">
        <w:rPr>
          <w:rFonts w:ascii="Times New Roman" w:hAnsi="Times New Roman"/>
          <w:sz w:val="24"/>
          <w:szCs w:val="24"/>
        </w:rPr>
        <w:t>. Acredita-se que as externalidades de trabalho geradas pela mobilidade são captadas de forma mais precisa entre setores industriais</w:t>
      </w:r>
      <w:r w:rsidR="001064A4">
        <w:rPr>
          <w:rFonts w:ascii="Times New Roman" w:hAnsi="Times New Roman"/>
          <w:sz w:val="24"/>
          <w:szCs w:val="24"/>
        </w:rPr>
        <w:t>, pois existe uma maior facilidade de mensurar a p</w:t>
      </w:r>
      <w:r w:rsidR="00A93110">
        <w:rPr>
          <w:rFonts w:ascii="Times New Roman" w:hAnsi="Times New Roman"/>
          <w:sz w:val="24"/>
          <w:szCs w:val="24"/>
        </w:rPr>
        <w:t>roximidade cognitiva na indústria</w:t>
      </w:r>
      <w:r>
        <w:rPr>
          <w:rFonts w:ascii="Times New Roman" w:hAnsi="Times New Roman"/>
          <w:sz w:val="24"/>
          <w:szCs w:val="24"/>
        </w:rPr>
        <w:t>,</w:t>
      </w:r>
      <w:r w:rsidR="00A93110">
        <w:rPr>
          <w:rFonts w:ascii="Times New Roman" w:hAnsi="Times New Roman"/>
          <w:sz w:val="24"/>
          <w:szCs w:val="24"/>
        </w:rPr>
        <w:t xml:space="preserve"> que em outros setores da economia.</w:t>
      </w:r>
      <w:r w:rsidR="001A19B8">
        <w:rPr>
          <w:rFonts w:ascii="Times New Roman" w:hAnsi="Times New Roman"/>
          <w:sz w:val="24"/>
          <w:szCs w:val="24"/>
        </w:rPr>
        <w:t xml:space="preserve"> </w:t>
      </w:r>
    </w:p>
    <w:p w14:paraId="4C9C3A73" w14:textId="1FD7D8FA" w:rsidR="000E2732" w:rsidRDefault="00C32313" w:rsidP="008A26E4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equações utilizadas para construir os graus de especialização, variedade relacionada e variedade não relacionada são apresentadas no quadro 1</w:t>
      </w:r>
      <w:r w:rsidR="00CF53D9">
        <w:rPr>
          <w:rFonts w:ascii="Times New Roman" w:hAnsi="Times New Roman"/>
          <w:sz w:val="24"/>
          <w:szCs w:val="24"/>
        </w:rPr>
        <w:t xml:space="preserve">. </w:t>
      </w:r>
      <w:r w:rsidR="00D7695E">
        <w:rPr>
          <w:rFonts w:ascii="Times New Roman" w:hAnsi="Times New Roman"/>
          <w:sz w:val="24"/>
          <w:szCs w:val="24"/>
        </w:rPr>
        <w:t>Cada índice, foi construído para cada tipo de migração. Assim, c</w:t>
      </w:r>
      <w:r w:rsidR="00651783">
        <w:rPr>
          <w:rFonts w:ascii="Times New Roman" w:hAnsi="Times New Roman"/>
          <w:sz w:val="24"/>
          <w:szCs w:val="24"/>
        </w:rPr>
        <w:t xml:space="preserve">onsiderando que </w:t>
      </w:r>
      <w:r w:rsidR="007D48B6" w:rsidRPr="00B30CE8">
        <w:rPr>
          <w:rFonts w:ascii="Times New Roman" w:eastAsia="Times New Roman" w:hAnsi="Times New Roman"/>
          <w:i/>
          <w:sz w:val="24"/>
          <w:szCs w:val="24"/>
        </w:rPr>
        <w:t>j</w:t>
      </w:r>
      <w:r w:rsidR="007D48B6">
        <w:rPr>
          <w:rFonts w:ascii="Times New Roman" w:eastAsia="Times New Roman" w:hAnsi="Times New Roman"/>
          <w:sz w:val="24"/>
          <w:szCs w:val="24"/>
        </w:rPr>
        <w:t xml:space="preserve"> representa</w:t>
      </w:r>
      <w:r w:rsidR="00EC03D6">
        <w:rPr>
          <w:rFonts w:ascii="Times New Roman" w:eastAsia="Times New Roman" w:hAnsi="Times New Roman"/>
          <w:sz w:val="24"/>
          <w:szCs w:val="24"/>
        </w:rPr>
        <w:t>m</w:t>
      </w:r>
      <w:r w:rsidR="007D48B6">
        <w:rPr>
          <w:rFonts w:ascii="Times New Roman" w:eastAsia="Times New Roman" w:hAnsi="Times New Roman"/>
          <w:sz w:val="24"/>
          <w:szCs w:val="24"/>
        </w:rPr>
        <w:t xml:space="preserve"> a</w:t>
      </w:r>
      <w:r w:rsidR="00EC03D6">
        <w:rPr>
          <w:rFonts w:ascii="Times New Roman" w:eastAsia="Times New Roman" w:hAnsi="Times New Roman"/>
          <w:sz w:val="24"/>
          <w:szCs w:val="24"/>
        </w:rPr>
        <w:t xml:space="preserve"> região</w:t>
      </w:r>
      <w:r w:rsidR="00CF53D9">
        <w:rPr>
          <w:rFonts w:ascii="Times New Roman" w:eastAsia="Times New Roman" w:hAnsi="Times New Roman"/>
          <w:sz w:val="24"/>
          <w:szCs w:val="24"/>
        </w:rPr>
        <w:t xml:space="preserve"> </w:t>
      </w:r>
      <w:r w:rsidR="00EC03D6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="00CF53D9">
        <w:rPr>
          <w:rFonts w:ascii="Times New Roman" w:eastAsia="Times New Roman" w:hAnsi="Times New Roman"/>
          <w:sz w:val="24"/>
          <w:szCs w:val="24"/>
        </w:rPr>
        <w:t>Regic</w:t>
      </w:r>
      <w:proofErr w:type="spellEnd"/>
      <w:r w:rsidR="00EC03D6">
        <w:rPr>
          <w:rFonts w:ascii="Times New Roman" w:eastAsia="Times New Roman" w:hAnsi="Times New Roman"/>
          <w:sz w:val="24"/>
          <w:szCs w:val="24"/>
        </w:rPr>
        <w:t xml:space="preserve">) e </w:t>
      </w:r>
      <w:r w:rsidR="00EC03D6" w:rsidRPr="00B30CE8">
        <w:rPr>
          <w:rFonts w:ascii="Times New Roman" w:eastAsia="Times New Roman" w:hAnsi="Times New Roman"/>
          <w:i/>
          <w:sz w:val="24"/>
          <w:szCs w:val="24"/>
        </w:rPr>
        <w:t>i</w:t>
      </w:r>
      <w:r w:rsidR="00EC03D6">
        <w:rPr>
          <w:rFonts w:ascii="Times New Roman" w:eastAsia="Times New Roman" w:hAnsi="Times New Roman"/>
          <w:sz w:val="24"/>
          <w:szCs w:val="24"/>
        </w:rPr>
        <w:t xml:space="preserve">, </w:t>
      </w:r>
      <w:r w:rsidR="00B30CE8">
        <w:rPr>
          <w:rFonts w:ascii="Times New Roman" w:eastAsia="Times New Roman" w:hAnsi="Times New Roman"/>
          <w:sz w:val="24"/>
          <w:szCs w:val="24"/>
        </w:rPr>
        <w:t>o setor</w:t>
      </w:r>
      <w:r w:rsidR="00651783">
        <w:rPr>
          <w:rFonts w:ascii="Times New Roman" w:eastAsia="Times New Roman" w:hAnsi="Times New Roman"/>
          <w:sz w:val="24"/>
          <w:szCs w:val="24"/>
        </w:rPr>
        <w:t>:</w:t>
      </w:r>
      <w:r w:rsidR="007D48B6" w:rsidRPr="00F1114A"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="007D48B6" w:rsidRPr="00F1114A">
        <w:rPr>
          <w:rFonts w:ascii="Times New Roman" w:eastAsia="Times New Roman" w:hAnsi="Times New Roman"/>
          <w:sz w:val="24"/>
          <w:szCs w:val="24"/>
        </w:rPr>
        <w:t xml:space="preserve"> </w:t>
      </w:r>
      <w:r w:rsidR="00651783">
        <w:rPr>
          <w:rFonts w:ascii="Times New Roman" w:eastAsia="Times New Roman" w:hAnsi="Times New Roman"/>
          <w:sz w:val="24"/>
          <w:szCs w:val="24"/>
        </w:rPr>
        <w:t>se refere</w:t>
      </w:r>
      <w:r w:rsidR="00651783" w:rsidRPr="00F1114A">
        <w:rPr>
          <w:rFonts w:ascii="Times New Roman" w:eastAsia="Times New Roman" w:hAnsi="Times New Roman"/>
          <w:sz w:val="24"/>
          <w:szCs w:val="24"/>
        </w:rPr>
        <w:t xml:space="preserve"> </w:t>
      </w:r>
      <w:r w:rsidR="007D48B6" w:rsidRPr="00F1114A">
        <w:rPr>
          <w:rFonts w:ascii="Times New Roman" w:eastAsia="Times New Roman" w:hAnsi="Times New Roman"/>
          <w:sz w:val="24"/>
          <w:szCs w:val="24"/>
        </w:rPr>
        <w:t xml:space="preserve">a parcela de firmas dentro do mesmo setor </w:t>
      </w:r>
      <w:r w:rsidR="007D48B6">
        <w:rPr>
          <w:rFonts w:ascii="Times New Roman" w:eastAsia="Times New Roman" w:hAnsi="Times New Roman"/>
          <w:sz w:val="24"/>
          <w:szCs w:val="24"/>
        </w:rPr>
        <w:t xml:space="preserve">a </w:t>
      </w:r>
      <w:r w:rsidR="007D48B6" w:rsidRPr="00F1114A">
        <w:rPr>
          <w:rFonts w:ascii="Times New Roman" w:eastAsia="Times New Roman" w:hAnsi="Times New Roman"/>
          <w:sz w:val="24"/>
          <w:szCs w:val="24"/>
        </w:rPr>
        <w:t xml:space="preserve">quatro dígitos </w:t>
      </w:r>
      <w:r w:rsidR="007D48B6" w:rsidRPr="00B30CE8">
        <w:rPr>
          <w:rFonts w:ascii="Times New Roman" w:eastAsia="Times New Roman" w:hAnsi="Times New Roman"/>
          <w:i/>
          <w:sz w:val="24"/>
          <w:szCs w:val="24"/>
        </w:rPr>
        <w:t>i</w:t>
      </w:r>
      <w:r w:rsidR="001128C4">
        <w:rPr>
          <w:rFonts w:ascii="Times New Roman" w:eastAsia="Times New Roman" w:hAnsi="Times New Roman"/>
          <w:sz w:val="24"/>
          <w:szCs w:val="24"/>
        </w:rPr>
        <w:t xml:space="preserve"> na região </w:t>
      </w:r>
      <w:proofErr w:type="gramStart"/>
      <w:r w:rsidR="001128C4" w:rsidRPr="00B30CE8">
        <w:rPr>
          <w:rFonts w:ascii="Times New Roman" w:eastAsia="Times New Roman" w:hAnsi="Times New Roman"/>
          <w:i/>
          <w:sz w:val="24"/>
          <w:szCs w:val="24"/>
        </w:rPr>
        <w:t>j</w:t>
      </w:r>
      <w:r w:rsidR="009B25A6">
        <w:rPr>
          <w:rFonts w:ascii="Times New Roman" w:eastAsia="Times New Roman" w:hAnsi="Times New Roman"/>
          <w:sz w:val="24"/>
          <w:szCs w:val="24"/>
        </w:rPr>
        <w:t>;</w:t>
      </w:r>
      <w:r w:rsidR="007D48B6" w:rsidRPr="00F1114A"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="007D48B6" w:rsidRPr="00F1114A">
        <w:rPr>
          <w:rFonts w:ascii="Times New Roman" w:eastAsia="Times New Roman" w:hAnsi="Times New Roman"/>
          <w:sz w:val="24"/>
          <w:szCs w:val="24"/>
        </w:rPr>
        <w:t xml:space="preserve"> representa</w:t>
      </w:r>
      <w:proofErr w:type="gramEnd"/>
      <w:r w:rsidR="007D48B6" w:rsidRPr="00F1114A">
        <w:rPr>
          <w:rFonts w:ascii="Times New Roman" w:eastAsia="Times New Roman" w:hAnsi="Times New Roman"/>
          <w:sz w:val="24"/>
          <w:szCs w:val="24"/>
        </w:rPr>
        <w:t xml:space="preserve"> o número de setores </w:t>
      </w:r>
      <w:r w:rsidR="007D48B6">
        <w:rPr>
          <w:rFonts w:ascii="Times New Roman" w:eastAsia="Times New Roman" w:hAnsi="Times New Roman"/>
          <w:sz w:val="24"/>
          <w:szCs w:val="24"/>
        </w:rPr>
        <w:t xml:space="preserve">a </w:t>
      </w:r>
      <w:r w:rsidR="007D48B6" w:rsidRPr="00F1114A">
        <w:rPr>
          <w:rFonts w:ascii="Times New Roman" w:eastAsia="Times New Roman" w:hAnsi="Times New Roman"/>
          <w:sz w:val="24"/>
          <w:szCs w:val="24"/>
        </w:rPr>
        <w:t>quatro dígitos</w:t>
      </w:r>
      <w:r w:rsidR="00EC03D6">
        <w:rPr>
          <w:rFonts w:ascii="Times New Roman" w:eastAsia="Times New Roman" w:hAnsi="Times New Roman"/>
          <w:sz w:val="24"/>
          <w:szCs w:val="24"/>
        </w:rPr>
        <w:t>;</w:t>
      </w:r>
      <w:r w:rsidR="007A1E06">
        <w:rPr>
          <w:rFonts w:ascii="Times New Roman" w:eastAsia="Times New Roman" w:hAnsi="Times New Roman"/>
          <w:sz w:val="24"/>
          <w:szCs w:val="24"/>
        </w:rPr>
        <w:t xml:space="preserve"> e</w:t>
      </w:r>
      <w:r w:rsidR="00EC03D6"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="009B25A6">
        <w:rPr>
          <w:rFonts w:ascii="Times New Roman" w:eastAsia="Times New Roman" w:hAnsi="Times New Roman"/>
          <w:sz w:val="24"/>
          <w:szCs w:val="24"/>
        </w:rPr>
        <w:t>,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="009B25A6">
        <w:rPr>
          <w:rFonts w:ascii="Times New Roman" w:eastAsia="Times New Roman" w:hAnsi="Times New Roman"/>
          <w:sz w:val="24"/>
          <w:szCs w:val="24"/>
        </w:rPr>
        <w:t xml:space="preserve">, 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="009B25A6">
        <w:rPr>
          <w:rFonts w:ascii="Times New Roman" w:eastAsia="Times New Roman" w:hAnsi="Times New Roman"/>
          <w:sz w:val="24"/>
          <w:szCs w:val="24"/>
        </w:rPr>
        <w:t xml:space="preserve"> </w:t>
      </w:r>
      <w:r w:rsidR="007A1E06">
        <w:rPr>
          <w:rFonts w:ascii="Times New Roman" w:eastAsia="Times New Roman" w:hAnsi="Times New Roman"/>
          <w:sz w:val="24"/>
          <w:szCs w:val="24"/>
        </w:rPr>
        <w:t xml:space="preserve">são </w:t>
      </w:r>
      <w:r w:rsidR="009B25A6">
        <w:rPr>
          <w:rFonts w:ascii="Times New Roman" w:eastAsia="Times New Roman" w:hAnsi="Times New Roman"/>
          <w:sz w:val="24"/>
          <w:szCs w:val="24"/>
        </w:rPr>
        <w:t xml:space="preserve">índices genéricos </w:t>
      </w:r>
      <w:r w:rsidR="00BF1B33">
        <w:rPr>
          <w:rFonts w:ascii="Times New Roman" w:eastAsia="Times New Roman" w:hAnsi="Times New Roman"/>
          <w:sz w:val="24"/>
          <w:szCs w:val="24"/>
        </w:rPr>
        <w:t>para os três tipos</w:t>
      </w:r>
      <w:r w:rsidR="009B25A6">
        <w:rPr>
          <w:rFonts w:ascii="Times New Roman" w:eastAsia="Times New Roman" w:hAnsi="Times New Roman"/>
          <w:sz w:val="24"/>
          <w:szCs w:val="24"/>
        </w:rPr>
        <w:t xml:space="preserve"> </w:t>
      </w:r>
      <w:r w:rsidR="00BF1B33">
        <w:rPr>
          <w:rFonts w:ascii="Times New Roman" w:eastAsia="Times New Roman" w:hAnsi="Times New Roman"/>
          <w:sz w:val="24"/>
          <w:szCs w:val="24"/>
        </w:rPr>
        <w:t xml:space="preserve">de </w:t>
      </w:r>
      <w:r w:rsidR="009B25A6">
        <w:rPr>
          <w:rFonts w:ascii="Times New Roman" w:eastAsia="Times New Roman" w:hAnsi="Times New Roman"/>
          <w:sz w:val="24"/>
          <w:szCs w:val="24"/>
        </w:rPr>
        <w:t xml:space="preserve">mobilidade </w:t>
      </w:r>
      <w:r w:rsidR="009633E0">
        <w:rPr>
          <w:rFonts w:ascii="Times New Roman" w:eastAsia="Times New Roman" w:hAnsi="Times New Roman"/>
          <w:sz w:val="24"/>
          <w:szCs w:val="24"/>
        </w:rPr>
        <w:t xml:space="preserve">de mão de obra </w:t>
      </w:r>
      <w:r w:rsidR="007A1E06">
        <w:rPr>
          <w:rFonts w:ascii="Times New Roman" w:eastAsia="Times New Roman" w:hAnsi="Times New Roman"/>
          <w:sz w:val="24"/>
          <w:szCs w:val="24"/>
        </w:rPr>
        <w:t xml:space="preserve">entre os </w:t>
      </w:r>
      <w:r w:rsidR="009B25A6">
        <w:rPr>
          <w:rFonts w:ascii="Times New Roman" w:eastAsia="Times New Roman" w:hAnsi="Times New Roman"/>
          <w:sz w:val="24"/>
          <w:szCs w:val="24"/>
        </w:rPr>
        <w:t xml:space="preserve">setores </w:t>
      </w:r>
      <w:r w:rsidR="009B25A6" w:rsidRPr="00C2417E">
        <w:rPr>
          <w:rFonts w:ascii="Times New Roman" w:eastAsia="Times New Roman" w:hAnsi="Times New Roman"/>
          <w:i/>
          <w:sz w:val="24"/>
          <w:szCs w:val="24"/>
        </w:rPr>
        <w:t>i</w:t>
      </w:r>
      <w:r w:rsidR="009B25A6">
        <w:rPr>
          <w:rFonts w:ascii="Times New Roman" w:eastAsia="Times New Roman" w:hAnsi="Times New Roman"/>
          <w:sz w:val="24"/>
          <w:szCs w:val="24"/>
        </w:rPr>
        <w:t xml:space="preserve"> </w:t>
      </w:r>
      <w:r w:rsidR="001128C4">
        <w:rPr>
          <w:rFonts w:ascii="Times New Roman" w:eastAsia="Times New Roman" w:hAnsi="Times New Roman"/>
          <w:sz w:val="24"/>
          <w:szCs w:val="24"/>
        </w:rPr>
        <w:t xml:space="preserve">nas regiões </w:t>
      </w:r>
      <w:r w:rsidR="001128C4" w:rsidRPr="00C2417E">
        <w:rPr>
          <w:rFonts w:ascii="Times New Roman" w:eastAsia="Times New Roman" w:hAnsi="Times New Roman"/>
          <w:i/>
          <w:sz w:val="24"/>
          <w:szCs w:val="24"/>
        </w:rPr>
        <w:t>j</w:t>
      </w:r>
      <w:r w:rsidR="001128C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07B2452" w14:textId="77777777" w:rsidR="002704C2" w:rsidRPr="00CF53D9" w:rsidRDefault="002704C2" w:rsidP="002761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2D2FC3" w14:textId="77777777" w:rsidR="00401611" w:rsidRDefault="007D48B6" w:rsidP="008A26E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Quadro </w:t>
      </w:r>
      <w:r w:rsidR="00E22C7E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 – Especialização, </w:t>
      </w:r>
      <w:r w:rsidR="00EC03D6">
        <w:rPr>
          <w:rFonts w:ascii="Times New Roman" w:eastAsia="Times New Roman" w:hAnsi="Times New Roman"/>
          <w:sz w:val="24"/>
          <w:szCs w:val="24"/>
        </w:rPr>
        <w:t>V</w:t>
      </w:r>
      <w:r>
        <w:rPr>
          <w:rFonts w:ascii="Times New Roman" w:eastAsia="Times New Roman" w:hAnsi="Times New Roman"/>
          <w:sz w:val="24"/>
          <w:szCs w:val="24"/>
        </w:rPr>
        <w:t xml:space="preserve">ariedade </w:t>
      </w:r>
      <w:r w:rsidR="00EC03D6">
        <w:rPr>
          <w:rFonts w:ascii="Times New Roman" w:eastAsia="Times New Roman" w:hAnsi="Times New Roman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 xml:space="preserve">elacionada e Variedade </w:t>
      </w:r>
      <w:r w:rsidR="00EC03D6"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 xml:space="preserve">ão </w:t>
      </w:r>
      <w:r w:rsidR="00EC03D6">
        <w:rPr>
          <w:rFonts w:ascii="Times New Roman" w:eastAsia="Times New Roman" w:hAnsi="Times New Roman"/>
          <w:sz w:val="24"/>
          <w:szCs w:val="24"/>
        </w:rPr>
        <w:t>R</w:t>
      </w:r>
      <w:r w:rsidR="004D4375">
        <w:rPr>
          <w:rFonts w:ascii="Times New Roman" w:eastAsia="Times New Roman" w:hAnsi="Times New Roman"/>
          <w:sz w:val="24"/>
          <w:szCs w:val="24"/>
        </w:rPr>
        <w:t xml:space="preserve">elacionada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6094D" w:rsidRPr="003F1A52" w14:paraId="3B9276D3" w14:textId="77777777" w:rsidTr="00E6094D">
        <w:trPr>
          <w:trHeight w:val="947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1ABD" w14:textId="77777777" w:rsidR="00EC03D6" w:rsidRPr="007B4599" w:rsidRDefault="00EC03D6" w:rsidP="008A26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A4A8C4" w14:textId="77777777" w:rsidR="00E6094D" w:rsidRPr="007B4599" w:rsidRDefault="00E6094D" w:rsidP="008A26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599">
              <w:rPr>
                <w:rFonts w:ascii="Times New Roman" w:hAnsi="Times New Roman"/>
                <w:sz w:val="20"/>
                <w:szCs w:val="20"/>
              </w:rPr>
              <w:t>Especialização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3475" w14:textId="77777777" w:rsidR="00E6094D" w:rsidRPr="007B4599" w:rsidRDefault="0092267E" w:rsidP="008A26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Esp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*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ij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2A64" w14:textId="77777777" w:rsidR="00E6094D" w:rsidRPr="007B4599" w:rsidRDefault="00E6094D" w:rsidP="008A26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8F3FE1" w14:textId="77777777" w:rsidR="00E6094D" w:rsidRPr="007B4599" w:rsidRDefault="00E6094D" w:rsidP="008A26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599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</w:tr>
      <w:tr w:rsidR="00E6094D" w:rsidRPr="003F1A52" w14:paraId="6C777F88" w14:textId="77777777" w:rsidTr="00E6094D">
        <w:trPr>
          <w:trHeight w:val="947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5F8E" w14:textId="77777777" w:rsidR="00EC03D6" w:rsidRPr="007B4599" w:rsidRDefault="00EC03D6" w:rsidP="008A26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8FC1CD" w14:textId="77777777" w:rsidR="00E6094D" w:rsidRPr="007B4599" w:rsidRDefault="00E6094D" w:rsidP="008A26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599">
              <w:rPr>
                <w:rFonts w:ascii="Times New Roman" w:hAnsi="Times New Roman"/>
                <w:sz w:val="20"/>
                <w:szCs w:val="20"/>
              </w:rPr>
              <w:t>Variedade relacionada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88A6" w14:textId="77777777" w:rsidR="00E6094D" w:rsidRPr="007B4599" w:rsidRDefault="0092267E" w:rsidP="008A26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Relvar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*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ij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478" w14:textId="77777777" w:rsidR="00E6094D" w:rsidRPr="007B4599" w:rsidRDefault="00E6094D" w:rsidP="008A26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68D31B" w14:textId="77777777" w:rsidR="00E6094D" w:rsidRPr="007B4599" w:rsidRDefault="00E6094D" w:rsidP="008A26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599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</w:tr>
      <w:tr w:rsidR="00E6094D" w:rsidRPr="003F1A52" w14:paraId="237620CC" w14:textId="77777777" w:rsidTr="00E6094D">
        <w:trPr>
          <w:trHeight w:val="947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849C" w14:textId="77777777" w:rsidR="00EC03D6" w:rsidRPr="007B4599" w:rsidRDefault="00EC03D6" w:rsidP="008A26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40266C" w14:textId="77777777" w:rsidR="00E6094D" w:rsidRPr="007B4599" w:rsidRDefault="00E6094D" w:rsidP="008A26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599">
              <w:rPr>
                <w:rFonts w:ascii="Times New Roman" w:hAnsi="Times New Roman"/>
                <w:sz w:val="20"/>
                <w:szCs w:val="20"/>
              </w:rPr>
              <w:t>Variedade não relacionada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B73A" w14:textId="77777777" w:rsidR="00E6094D" w:rsidRPr="007B4599" w:rsidRDefault="0092267E" w:rsidP="008A26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Unrel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*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ij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1C8A" w14:textId="77777777" w:rsidR="00E6094D" w:rsidRPr="007B4599" w:rsidRDefault="00E6094D" w:rsidP="008A26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8BA642" w14:textId="77777777" w:rsidR="00E6094D" w:rsidRPr="007B4599" w:rsidRDefault="00E6094D" w:rsidP="008A26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599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</w:tr>
    </w:tbl>
    <w:p w14:paraId="05D4FE64" w14:textId="77777777" w:rsidR="004B17F1" w:rsidRPr="00F1114A" w:rsidRDefault="00010C73" w:rsidP="008A26E4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6575">
        <w:rPr>
          <w:rFonts w:ascii="Times New Roman" w:hAnsi="Times New Roman"/>
          <w:sz w:val="20"/>
          <w:szCs w:val="20"/>
        </w:rPr>
        <w:t>Fonte: elaboração do</w:t>
      </w:r>
      <w:r w:rsidR="00EF4F83">
        <w:rPr>
          <w:rFonts w:ascii="Times New Roman" w:hAnsi="Times New Roman"/>
          <w:sz w:val="20"/>
          <w:szCs w:val="20"/>
        </w:rPr>
        <w:t>s</w:t>
      </w:r>
      <w:r w:rsidRPr="00BD6575">
        <w:rPr>
          <w:rFonts w:ascii="Times New Roman" w:hAnsi="Times New Roman"/>
          <w:sz w:val="20"/>
          <w:szCs w:val="20"/>
        </w:rPr>
        <w:t xml:space="preserve"> autor</w:t>
      </w:r>
      <w:r w:rsidR="00EF4F83">
        <w:rPr>
          <w:rFonts w:ascii="Times New Roman" w:hAnsi="Times New Roman"/>
          <w:sz w:val="20"/>
          <w:szCs w:val="20"/>
        </w:rPr>
        <w:t>es</w:t>
      </w:r>
      <w:r w:rsidR="00EC03D6">
        <w:rPr>
          <w:rFonts w:ascii="Times New Roman" w:hAnsi="Times New Roman"/>
          <w:sz w:val="20"/>
          <w:szCs w:val="20"/>
        </w:rPr>
        <w:t>.</w:t>
      </w:r>
    </w:p>
    <w:p w14:paraId="572FF25B" w14:textId="1A6FB4DD" w:rsidR="00EF4F83" w:rsidRPr="00EF4F83" w:rsidRDefault="00EF4F83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4F83">
        <w:rPr>
          <w:rFonts w:ascii="Times New Roman" w:hAnsi="Times New Roman"/>
          <w:sz w:val="24"/>
          <w:szCs w:val="24"/>
        </w:rPr>
        <w:t>O grau de especialização (1) é calculado combina</w:t>
      </w:r>
      <w:r w:rsidR="000D6CFD">
        <w:rPr>
          <w:rFonts w:ascii="Times New Roman" w:hAnsi="Times New Roman"/>
          <w:sz w:val="24"/>
          <w:szCs w:val="24"/>
        </w:rPr>
        <w:t>n</w:t>
      </w:r>
      <w:r w:rsidRPr="00EF4F83">
        <w:rPr>
          <w:rFonts w:ascii="Times New Roman" w:hAnsi="Times New Roman"/>
          <w:sz w:val="24"/>
          <w:szCs w:val="24"/>
        </w:rPr>
        <w:t xml:space="preserve">do a parcela de firmas da mesma indústria a quatro dígitos em relação ao total de firmas da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Pr="00EF4F83">
        <w:rPr>
          <w:rFonts w:ascii="Times New Roman" w:hAnsi="Times New Roman"/>
          <w:sz w:val="24"/>
          <w:szCs w:val="24"/>
        </w:rPr>
        <w:t>egic</w:t>
      </w:r>
      <w:proofErr w:type="spellEnd"/>
      <w:proofErr w:type="gramStart"/>
      <w:r w:rsidRPr="00EF4F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F4F83">
        <w:rPr>
          <w:rFonts w:ascii="Times New Roman" w:hAnsi="Times New Roman"/>
          <w:sz w:val="24"/>
          <w:szCs w:val="24"/>
        </w:rPr>
        <w:t>com o índice genérico de mobilidade</w:t>
      </w:r>
      <w:r w:rsidR="007A1E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="007A1E06">
        <w:rPr>
          <w:rFonts w:ascii="Times New Roman" w:hAnsi="Times New Roman"/>
          <w:sz w:val="24"/>
          <w:szCs w:val="24"/>
        </w:rPr>
        <w:t>. Este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4F83">
        <w:rPr>
          <w:rFonts w:ascii="Times New Roman" w:hAnsi="Times New Roman"/>
          <w:sz w:val="24"/>
          <w:szCs w:val="24"/>
        </w:rPr>
        <w:t xml:space="preserve">representa a parcela de fluxo de mão de obra qualificada </w:t>
      </w:r>
      <w:r w:rsidR="00EC03D6">
        <w:rPr>
          <w:rFonts w:ascii="Times New Roman" w:hAnsi="Times New Roman"/>
          <w:sz w:val="24"/>
          <w:szCs w:val="24"/>
        </w:rPr>
        <w:t>oriunda</w:t>
      </w:r>
      <w:r w:rsidRPr="00EF4F83">
        <w:rPr>
          <w:rFonts w:ascii="Times New Roman" w:hAnsi="Times New Roman"/>
          <w:sz w:val="24"/>
          <w:szCs w:val="24"/>
        </w:rPr>
        <w:t xml:space="preserve"> da mesma categoria de setores </w:t>
      </w:r>
      <w:r w:rsidR="00BB11AE" w:rsidRPr="004D5896">
        <w:rPr>
          <w:rFonts w:ascii="Times New Roman" w:hAnsi="Times New Roman"/>
          <w:i/>
          <w:sz w:val="24"/>
          <w:szCs w:val="24"/>
        </w:rPr>
        <w:t>i</w:t>
      </w:r>
      <w:r w:rsidR="00BB11AE">
        <w:rPr>
          <w:rFonts w:ascii="Times New Roman" w:hAnsi="Times New Roman"/>
          <w:sz w:val="24"/>
          <w:szCs w:val="24"/>
        </w:rPr>
        <w:t xml:space="preserve"> </w:t>
      </w:r>
      <w:r w:rsidRPr="00EF4F83">
        <w:rPr>
          <w:rFonts w:ascii="Times New Roman" w:hAnsi="Times New Roman"/>
          <w:sz w:val="24"/>
          <w:szCs w:val="24"/>
        </w:rPr>
        <w:t>a quatro dígitos</w:t>
      </w:r>
      <w:r w:rsidR="00BB11AE">
        <w:rPr>
          <w:rFonts w:ascii="Times New Roman" w:hAnsi="Times New Roman"/>
          <w:sz w:val="24"/>
          <w:szCs w:val="24"/>
        </w:rPr>
        <w:t xml:space="preserve"> recebida pela região </w:t>
      </w:r>
      <w:r w:rsidR="00BB11AE" w:rsidRPr="004D5896">
        <w:rPr>
          <w:rFonts w:ascii="Times New Roman" w:hAnsi="Times New Roman"/>
          <w:i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F4F83">
        <w:rPr>
          <w:rFonts w:ascii="Times New Roman" w:hAnsi="Times New Roman"/>
          <w:sz w:val="24"/>
          <w:szCs w:val="24"/>
        </w:rPr>
        <w:t>Esse índice capta os fluxos para cada tipo de mobilidade analisada, de modo que pela equação 1 pode</w:t>
      </w:r>
      <w:r w:rsidR="007A1E06">
        <w:rPr>
          <w:rFonts w:ascii="Times New Roman" w:hAnsi="Times New Roman"/>
          <w:sz w:val="24"/>
          <w:szCs w:val="24"/>
        </w:rPr>
        <w:t>-</w:t>
      </w:r>
      <w:r w:rsidRPr="00EF4F83">
        <w:rPr>
          <w:rFonts w:ascii="Times New Roman" w:hAnsi="Times New Roman"/>
          <w:sz w:val="24"/>
          <w:szCs w:val="24"/>
        </w:rPr>
        <w:t>se obter a especialização inter-regional, especialização intrarregional e especialização interfirma.</w:t>
      </w:r>
    </w:p>
    <w:p w14:paraId="65717774" w14:textId="4FDA2F94" w:rsidR="00EF4F83" w:rsidRPr="00EF4F83" w:rsidRDefault="00EF4F83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4F83">
        <w:rPr>
          <w:rFonts w:ascii="Times New Roman" w:hAnsi="Times New Roman"/>
          <w:sz w:val="24"/>
          <w:szCs w:val="24"/>
        </w:rPr>
        <w:t xml:space="preserve">Regiões com altos graus de especialização são consideradas especializadas tanto em atividades econômicas como </w:t>
      </w:r>
      <w:r w:rsidR="00D7695E">
        <w:rPr>
          <w:rFonts w:ascii="Times New Roman" w:hAnsi="Times New Roman"/>
          <w:sz w:val="24"/>
          <w:szCs w:val="24"/>
        </w:rPr>
        <w:t xml:space="preserve">em </w:t>
      </w:r>
      <w:r w:rsidRPr="00EF4F83">
        <w:rPr>
          <w:rFonts w:ascii="Times New Roman" w:hAnsi="Times New Roman"/>
          <w:sz w:val="24"/>
          <w:szCs w:val="24"/>
        </w:rPr>
        <w:t xml:space="preserve">externalidades de trabalho (BOSCHMA </w:t>
      </w:r>
      <w:r w:rsidRPr="00FA5DDE">
        <w:rPr>
          <w:rFonts w:ascii="Times New Roman" w:hAnsi="Times New Roman"/>
          <w:i/>
          <w:sz w:val="24"/>
          <w:szCs w:val="24"/>
        </w:rPr>
        <w:t>et al</w:t>
      </w:r>
      <w:r w:rsidRPr="00EF4F83">
        <w:rPr>
          <w:rFonts w:ascii="Times New Roman" w:hAnsi="Times New Roman"/>
          <w:sz w:val="24"/>
          <w:szCs w:val="24"/>
        </w:rPr>
        <w:t>., 2014), pois apresentam mão de obra concentrada em setores que atuam na mesma área</w:t>
      </w:r>
      <w:r w:rsidR="00BB11AE">
        <w:rPr>
          <w:rFonts w:ascii="Times New Roman" w:hAnsi="Times New Roman"/>
          <w:sz w:val="24"/>
          <w:szCs w:val="24"/>
        </w:rPr>
        <w:t xml:space="preserve"> de conhecimento</w:t>
      </w:r>
      <w:r w:rsidRPr="00EF4F83">
        <w:rPr>
          <w:rFonts w:ascii="Times New Roman" w:hAnsi="Times New Roman"/>
          <w:sz w:val="24"/>
          <w:szCs w:val="24"/>
        </w:rPr>
        <w:t>. Regiões especializadas nos mesmos setores acabam gerando inovações incrementais,</w:t>
      </w:r>
      <w:r w:rsidR="00D7695E">
        <w:rPr>
          <w:rFonts w:ascii="Times New Roman" w:hAnsi="Times New Roman"/>
          <w:sz w:val="24"/>
          <w:szCs w:val="24"/>
        </w:rPr>
        <w:t xml:space="preserve"> o que </w:t>
      </w:r>
      <w:r w:rsidRPr="00EF4F83">
        <w:rPr>
          <w:rFonts w:ascii="Times New Roman" w:hAnsi="Times New Roman"/>
          <w:sz w:val="24"/>
          <w:szCs w:val="24"/>
        </w:rPr>
        <w:t xml:space="preserve">aumenta a produtividade local (FRENKEN, </w:t>
      </w:r>
      <w:r w:rsidRPr="00FA5DDE">
        <w:rPr>
          <w:rFonts w:ascii="Times New Roman" w:hAnsi="Times New Roman"/>
          <w:i/>
          <w:sz w:val="24"/>
          <w:szCs w:val="24"/>
        </w:rPr>
        <w:t>et al</w:t>
      </w:r>
      <w:r w:rsidRPr="00EF4F83">
        <w:rPr>
          <w:rFonts w:ascii="Times New Roman" w:hAnsi="Times New Roman"/>
          <w:sz w:val="24"/>
          <w:szCs w:val="24"/>
        </w:rPr>
        <w:t>., 2007).</w:t>
      </w:r>
    </w:p>
    <w:p w14:paraId="4D009AA5" w14:textId="13515F9B" w:rsidR="000D6CFD" w:rsidRPr="000D6CFD" w:rsidRDefault="00EF4F83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4F83">
        <w:rPr>
          <w:rFonts w:ascii="Times New Roman" w:hAnsi="Times New Roman"/>
          <w:sz w:val="24"/>
          <w:szCs w:val="24"/>
        </w:rPr>
        <w:t xml:space="preserve">O grau de variedade relacionada (2) é calculado </w:t>
      </w:r>
      <w:r w:rsidR="000D6CFD">
        <w:rPr>
          <w:rFonts w:ascii="Times New Roman" w:hAnsi="Times New Roman"/>
          <w:sz w:val="24"/>
          <w:szCs w:val="24"/>
        </w:rPr>
        <w:t>por meio da multiplicação</w:t>
      </w:r>
      <w:r w:rsidRPr="00EF4F83">
        <w:rPr>
          <w:rFonts w:ascii="Times New Roman" w:hAnsi="Times New Roman"/>
          <w:sz w:val="24"/>
          <w:szCs w:val="24"/>
        </w:rPr>
        <w:t xml:space="preserve"> </w:t>
      </w:r>
      <w:r w:rsidR="000D6CFD">
        <w:rPr>
          <w:rFonts w:ascii="Times New Roman" w:hAnsi="Times New Roman"/>
          <w:sz w:val="24"/>
          <w:szCs w:val="24"/>
        </w:rPr>
        <w:t>d</w:t>
      </w:r>
      <w:r w:rsidRPr="00EF4F83">
        <w:rPr>
          <w:rFonts w:ascii="Times New Roman" w:hAnsi="Times New Roman"/>
          <w:sz w:val="24"/>
          <w:szCs w:val="24"/>
        </w:rPr>
        <w:t xml:space="preserve">a parcela de firmas da mesma indústria a quatro dígitos em relação ao total de firmas da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</w:t>
      </w:r>
      <w:r w:rsidRPr="00EF4F83">
        <w:rPr>
          <w:rFonts w:ascii="Times New Roman" w:hAnsi="Times New Roman"/>
          <w:sz w:val="24"/>
          <w:szCs w:val="24"/>
        </w:rPr>
        <w:t>egic</w:t>
      </w:r>
      <w:proofErr w:type="spellEnd"/>
      <w:r w:rsidR="000D6CFD">
        <w:rPr>
          <w:rFonts w:ascii="Times New Roman" w:hAnsi="Times New Roman"/>
          <w:sz w:val="24"/>
          <w:szCs w:val="24"/>
        </w:rPr>
        <w:t>,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="000D6CFD">
        <w:rPr>
          <w:rFonts w:ascii="Times New Roman" w:hAnsi="Times New Roman"/>
          <w:sz w:val="24"/>
          <w:szCs w:val="24"/>
        </w:rPr>
        <w:t>,</w:t>
      </w:r>
      <w:proofErr w:type="gramEnd"/>
      <w:r w:rsidR="000D6CFD">
        <w:rPr>
          <w:rFonts w:ascii="Times New Roman" w:hAnsi="Times New Roman"/>
          <w:sz w:val="24"/>
          <w:szCs w:val="24"/>
        </w:rPr>
        <w:t xml:space="preserve"> </w:t>
      </w:r>
      <w:r w:rsidR="000D6CFD" w:rsidRPr="000D6CFD">
        <w:rPr>
          <w:rFonts w:ascii="Times New Roman" w:hAnsi="Times New Roman"/>
          <w:sz w:val="24"/>
          <w:szCs w:val="24"/>
        </w:rPr>
        <w:t>com o índice genérico de</w:t>
      </w:r>
      <w:r w:rsidR="000D6CFD">
        <w:rPr>
          <w:rFonts w:ascii="Times New Roman" w:hAnsi="Times New Roman"/>
          <w:sz w:val="24"/>
          <w:szCs w:val="24"/>
        </w:rPr>
        <w:t xml:space="preserve"> mobilidade</w:t>
      </w:r>
      <w:r w:rsidR="00D7695E">
        <w:rPr>
          <w:rFonts w:ascii="Times New Roman" w:hAnsi="Times New Roman"/>
          <w:sz w:val="24"/>
          <w:szCs w:val="24"/>
        </w:rPr>
        <w:t>,</w:t>
      </w:r>
      <w:r w:rsidR="000D6CFD"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 w:rsidR="000D6CFD">
        <w:rPr>
          <w:rFonts w:ascii="Times New Roman" w:hAnsi="Times New Roman"/>
          <w:sz w:val="24"/>
          <w:szCs w:val="24"/>
        </w:rPr>
        <w:t xml:space="preserve"> que </w:t>
      </w:r>
      <w:r w:rsidR="000D6CFD" w:rsidRPr="000D6CFD">
        <w:rPr>
          <w:rFonts w:ascii="Times New Roman" w:hAnsi="Times New Roman"/>
          <w:sz w:val="24"/>
          <w:szCs w:val="24"/>
        </w:rPr>
        <w:t>representa a parcela de fluxo de mão de obra qualificada vind</w:t>
      </w:r>
      <w:r w:rsidR="00CD7E6B">
        <w:rPr>
          <w:rFonts w:ascii="Times New Roman" w:hAnsi="Times New Roman"/>
          <w:sz w:val="24"/>
          <w:szCs w:val="24"/>
        </w:rPr>
        <w:t>a</w:t>
      </w:r>
      <w:r w:rsidR="000D6CFD" w:rsidRPr="000D6CFD">
        <w:rPr>
          <w:rFonts w:ascii="Times New Roman" w:hAnsi="Times New Roman"/>
          <w:sz w:val="24"/>
          <w:szCs w:val="24"/>
        </w:rPr>
        <w:t xml:space="preserve"> da mesma categoria de setores a dois dígitos, mas </w:t>
      </w:r>
      <w:r w:rsidR="00BB11AE">
        <w:rPr>
          <w:rFonts w:ascii="Times New Roman" w:hAnsi="Times New Roman"/>
          <w:sz w:val="24"/>
          <w:szCs w:val="24"/>
        </w:rPr>
        <w:t>que mudou</w:t>
      </w:r>
      <w:r w:rsidR="000D6CFD" w:rsidRPr="000D6CFD">
        <w:rPr>
          <w:rFonts w:ascii="Times New Roman" w:hAnsi="Times New Roman"/>
          <w:sz w:val="24"/>
          <w:szCs w:val="24"/>
        </w:rPr>
        <w:t xml:space="preserve"> de setor a quatro dígitos. </w:t>
      </w:r>
      <w:r w:rsidR="00BB11AE">
        <w:rPr>
          <w:rFonts w:ascii="Times New Roman" w:hAnsi="Times New Roman"/>
          <w:sz w:val="24"/>
          <w:szCs w:val="24"/>
        </w:rPr>
        <w:t>A</w:t>
      </w:r>
      <w:r w:rsidR="000D6CFD" w:rsidRPr="000D6CFD">
        <w:rPr>
          <w:rFonts w:ascii="Times New Roman" w:hAnsi="Times New Roman"/>
          <w:sz w:val="24"/>
          <w:szCs w:val="24"/>
        </w:rPr>
        <w:t>ssim</w:t>
      </w:r>
      <w:r w:rsidR="00BB11AE">
        <w:rPr>
          <w:rFonts w:ascii="Times New Roman" w:hAnsi="Times New Roman"/>
          <w:sz w:val="24"/>
          <w:szCs w:val="24"/>
        </w:rPr>
        <w:t>,</w:t>
      </w:r>
      <w:r w:rsidR="000D6CFD" w:rsidRPr="000D6CFD">
        <w:rPr>
          <w:rFonts w:ascii="Times New Roman" w:hAnsi="Times New Roman"/>
          <w:sz w:val="24"/>
          <w:szCs w:val="24"/>
        </w:rPr>
        <w:t xml:space="preserve"> pela equação 2</w:t>
      </w:r>
      <w:r w:rsidR="00CD7E6B">
        <w:rPr>
          <w:rFonts w:ascii="Times New Roman" w:hAnsi="Times New Roman"/>
          <w:sz w:val="24"/>
          <w:szCs w:val="24"/>
        </w:rPr>
        <w:t>,</w:t>
      </w:r>
      <w:r w:rsidR="000D6CFD" w:rsidRPr="000D6CFD">
        <w:rPr>
          <w:rFonts w:ascii="Times New Roman" w:hAnsi="Times New Roman"/>
          <w:sz w:val="24"/>
          <w:szCs w:val="24"/>
        </w:rPr>
        <w:t xml:space="preserve"> pode</w:t>
      </w:r>
      <w:r w:rsidR="00CD7E6B">
        <w:rPr>
          <w:rFonts w:ascii="Times New Roman" w:hAnsi="Times New Roman"/>
          <w:sz w:val="24"/>
          <w:szCs w:val="24"/>
        </w:rPr>
        <w:t>-</w:t>
      </w:r>
      <w:r w:rsidR="000D6CFD" w:rsidRPr="000D6CFD">
        <w:rPr>
          <w:rFonts w:ascii="Times New Roman" w:hAnsi="Times New Roman"/>
          <w:sz w:val="24"/>
          <w:szCs w:val="24"/>
        </w:rPr>
        <w:t>se obter o grau de variedade relacionada inter-regional, variedade relacionada intrarregional e variedade relacionada interfirma.</w:t>
      </w:r>
    </w:p>
    <w:p w14:paraId="2B398F4C" w14:textId="6A600C4E" w:rsidR="00EF4F83" w:rsidRDefault="00D5315B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Índices altos de variedade relacionada, indicam que as r</w:t>
      </w:r>
      <w:r w:rsidR="000D6CFD" w:rsidRPr="000D6CFD">
        <w:rPr>
          <w:rFonts w:ascii="Times New Roman" w:hAnsi="Times New Roman"/>
          <w:sz w:val="24"/>
          <w:szCs w:val="24"/>
        </w:rPr>
        <w:t xml:space="preserve">egiões apresentam </w:t>
      </w:r>
      <w:r w:rsidR="00D7695E">
        <w:rPr>
          <w:rFonts w:ascii="Times New Roman" w:hAnsi="Times New Roman"/>
          <w:sz w:val="24"/>
          <w:szCs w:val="24"/>
        </w:rPr>
        <w:t>alta</w:t>
      </w:r>
      <w:r w:rsidR="00D7695E" w:rsidRPr="000D6CFD">
        <w:rPr>
          <w:rFonts w:ascii="Times New Roman" w:hAnsi="Times New Roman"/>
          <w:sz w:val="24"/>
          <w:szCs w:val="24"/>
        </w:rPr>
        <w:t xml:space="preserve"> </w:t>
      </w:r>
      <w:r w:rsidR="000D6CFD" w:rsidRPr="000D6CFD">
        <w:rPr>
          <w:rFonts w:ascii="Times New Roman" w:hAnsi="Times New Roman"/>
          <w:sz w:val="24"/>
          <w:szCs w:val="24"/>
        </w:rPr>
        <w:t xml:space="preserve">complementaridade de conhecimento, dado que apesar da mudança de setor a 4 dígitos, </w:t>
      </w:r>
      <w:r w:rsidR="000D6CFD" w:rsidRPr="000D6CFD">
        <w:rPr>
          <w:rFonts w:ascii="Times New Roman" w:hAnsi="Times New Roman"/>
          <w:sz w:val="24"/>
          <w:szCs w:val="24"/>
        </w:rPr>
        <w:lastRenderedPageBreak/>
        <w:t xml:space="preserve">o trabalhador é familiarizado com </w:t>
      </w:r>
      <w:r w:rsidR="00D7695E">
        <w:rPr>
          <w:rFonts w:ascii="Times New Roman" w:hAnsi="Times New Roman"/>
          <w:sz w:val="24"/>
          <w:szCs w:val="24"/>
        </w:rPr>
        <w:t xml:space="preserve">as atividades </w:t>
      </w:r>
      <w:r w:rsidR="00D7695E" w:rsidRPr="000D6CFD">
        <w:rPr>
          <w:rFonts w:ascii="Times New Roman" w:hAnsi="Times New Roman"/>
          <w:sz w:val="24"/>
          <w:szCs w:val="24"/>
        </w:rPr>
        <w:t>da firma de destino</w:t>
      </w:r>
      <w:r>
        <w:rPr>
          <w:rFonts w:ascii="Times New Roman" w:hAnsi="Times New Roman"/>
          <w:sz w:val="24"/>
          <w:szCs w:val="24"/>
        </w:rPr>
        <w:t>,</w:t>
      </w:r>
      <w:r w:rsidR="00D7695E" w:rsidRPr="000D6CFD">
        <w:rPr>
          <w:rFonts w:ascii="Times New Roman" w:hAnsi="Times New Roman"/>
          <w:sz w:val="24"/>
          <w:szCs w:val="24"/>
        </w:rPr>
        <w:t xml:space="preserve"> </w:t>
      </w:r>
      <w:r w:rsidR="00D7695E">
        <w:rPr>
          <w:rFonts w:ascii="Times New Roman" w:hAnsi="Times New Roman"/>
          <w:sz w:val="24"/>
          <w:szCs w:val="24"/>
        </w:rPr>
        <w:t>por ter vindo d</w:t>
      </w:r>
      <w:r w:rsidR="000D6CFD" w:rsidRPr="000D6CFD">
        <w:rPr>
          <w:rFonts w:ascii="Times New Roman" w:hAnsi="Times New Roman"/>
          <w:sz w:val="24"/>
          <w:szCs w:val="24"/>
        </w:rPr>
        <w:t>o</w:t>
      </w:r>
      <w:r w:rsidR="00D7695E">
        <w:rPr>
          <w:rFonts w:ascii="Times New Roman" w:hAnsi="Times New Roman"/>
          <w:sz w:val="24"/>
          <w:szCs w:val="24"/>
        </w:rPr>
        <w:t xml:space="preserve"> mesmo</w:t>
      </w:r>
      <w:r w:rsidR="000D6CFD" w:rsidRPr="000D6CFD">
        <w:rPr>
          <w:rFonts w:ascii="Times New Roman" w:hAnsi="Times New Roman"/>
          <w:sz w:val="24"/>
          <w:szCs w:val="24"/>
        </w:rPr>
        <w:t xml:space="preserve"> setor </w:t>
      </w:r>
      <w:r w:rsidR="00D7695E">
        <w:rPr>
          <w:rFonts w:ascii="Times New Roman" w:hAnsi="Times New Roman"/>
          <w:sz w:val="24"/>
          <w:szCs w:val="24"/>
        </w:rPr>
        <w:t>de atuação a um</w:t>
      </w:r>
      <w:r w:rsidR="000D6CFD" w:rsidRPr="000D6CFD">
        <w:rPr>
          <w:rFonts w:ascii="Times New Roman" w:hAnsi="Times New Roman"/>
          <w:sz w:val="24"/>
          <w:szCs w:val="24"/>
        </w:rPr>
        <w:t xml:space="preserve">a </w:t>
      </w:r>
      <w:r w:rsidR="00D7695E">
        <w:rPr>
          <w:rFonts w:ascii="Times New Roman" w:hAnsi="Times New Roman"/>
          <w:sz w:val="24"/>
          <w:szCs w:val="24"/>
        </w:rPr>
        <w:t xml:space="preserve">agregação de </w:t>
      </w:r>
      <w:r w:rsidR="000D6CFD" w:rsidRPr="000D6CFD">
        <w:rPr>
          <w:rFonts w:ascii="Times New Roman" w:hAnsi="Times New Roman"/>
          <w:sz w:val="24"/>
          <w:szCs w:val="24"/>
        </w:rPr>
        <w:t xml:space="preserve">2 dígitos. Além disso, regiões com alto grau de variedade relacionada são propensas a ter inovações radicais, dado que existe uma elevada assimilação de conhecimento das firmas, </w:t>
      </w:r>
      <w:r>
        <w:rPr>
          <w:rFonts w:ascii="Times New Roman" w:hAnsi="Times New Roman"/>
          <w:sz w:val="24"/>
          <w:szCs w:val="24"/>
        </w:rPr>
        <w:t xml:space="preserve">fazendo com que esta seja </w:t>
      </w:r>
      <w:r w:rsidR="000D6CFD" w:rsidRPr="000D6CFD">
        <w:rPr>
          <w:rFonts w:ascii="Times New Roman" w:hAnsi="Times New Roman"/>
          <w:sz w:val="24"/>
          <w:szCs w:val="24"/>
        </w:rPr>
        <w:t xml:space="preserve">capaz de recombinar o conhecimento existente e criar novos produtos e tecnologias (FRENKEN </w:t>
      </w:r>
      <w:r w:rsidR="000D6CFD" w:rsidRPr="00FA5DDE">
        <w:rPr>
          <w:rFonts w:ascii="Times New Roman" w:hAnsi="Times New Roman"/>
          <w:i/>
          <w:sz w:val="24"/>
          <w:szCs w:val="24"/>
        </w:rPr>
        <w:t>et al</w:t>
      </w:r>
      <w:r w:rsidR="000D6CFD" w:rsidRPr="000D6CFD">
        <w:rPr>
          <w:rFonts w:ascii="Times New Roman" w:hAnsi="Times New Roman"/>
          <w:sz w:val="24"/>
          <w:szCs w:val="24"/>
        </w:rPr>
        <w:t>., 2007)</w:t>
      </w:r>
      <w:r w:rsidR="000D6CFD">
        <w:rPr>
          <w:rFonts w:ascii="Times New Roman" w:hAnsi="Times New Roman"/>
          <w:sz w:val="24"/>
          <w:szCs w:val="24"/>
        </w:rPr>
        <w:t>.</w:t>
      </w:r>
    </w:p>
    <w:p w14:paraId="5A3B2AE7" w14:textId="0375BE47" w:rsidR="000D6CFD" w:rsidRPr="000D6CFD" w:rsidRDefault="000D6CFD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6CFD">
        <w:rPr>
          <w:rFonts w:ascii="Times New Roman" w:hAnsi="Times New Roman"/>
          <w:sz w:val="24"/>
          <w:szCs w:val="24"/>
        </w:rPr>
        <w:t>O grau de variedade não relacionada (3) é calculado combina</w:t>
      </w:r>
      <w:r>
        <w:rPr>
          <w:rFonts w:ascii="Times New Roman" w:hAnsi="Times New Roman"/>
          <w:sz w:val="24"/>
          <w:szCs w:val="24"/>
        </w:rPr>
        <w:t>n</w:t>
      </w:r>
      <w:r w:rsidRPr="000D6CFD">
        <w:rPr>
          <w:rFonts w:ascii="Times New Roman" w:hAnsi="Times New Roman"/>
          <w:sz w:val="24"/>
          <w:szCs w:val="24"/>
        </w:rPr>
        <w:t>do a parcela de firmas da mesma indústria a quatro dígitos em</w:t>
      </w:r>
      <w:r>
        <w:rPr>
          <w:rFonts w:ascii="Times New Roman" w:hAnsi="Times New Roman"/>
          <w:sz w:val="24"/>
          <w:szCs w:val="24"/>
        </w:rPr>
        <w:t xml:space="preserve"> relação ao total de firmas da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Pr="000D6CFD">
        <w:rPr>
          <w:rFonts w:ascii="Times New Roman" w:hAnsi="Times New Roman"/>
          <w:sz w:val="24"/>
          <w:szCs w:val="24"/>
        </w:rPr>
        <w:t>egic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0D6CFD">
        <w:rPr>
          <w:rFonts w:ascii="Times New Roman" w:hAnsi="Times New Roman"/>
          <w:sz w:val="24"/>
          <w:szCs w:val="24"/>
        </w:rPr>
        <w:t>com o índice genérico de mobilidade</w:t>
      </w:r>
      <w:r w:rsidR="00D7695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="00CD7E6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que </w:t>
      </w:r>
      <w:r w:rsidRPr="000D6CFD">
        <w:rPr>
          <w:rFonts w:ascii="Times New Roman" w:hAnsi="Times New Roman"/>
          <w:sz w:val="24"/>
          <w:szCs w:val="24"/>
        </w:rPr>
        <w:t>representa a parcela de fluxo de indivíduos qualificados vind</w:t>
      </w:r>
      <w:r w:rsidR="00CD7E6B">
        <w:rPr>
          <w:rFonts w:ascii="Times New Roman" w:hAnsi="Times New Roman"/>
          <w:sz w:val="24"/>
          <w:szCs w:val="24"/>
        </w:rPr>
        <w:t>a</w:t>
      </w:r>
      <w:r w:rsidRPr="000D6CFD">
        <w:rPr>
          <w:rFonts w:ascii="Times New Roman" w:hAnsi="Times New Roman"/>
          <w:sz w:val="24"/>
          <w:szCs w:val="24"/>
        </w:rPr>
        <w:t xml:space="preserve"> de diferentes setores a dois dígitos e</w:t>
      </w:r>
      <w:r w:rsidR="00CD7E6B">
        <w:rPr>
          <w:rFonts w:ascii="Times New Roman" w:hAnsi="Times New Roman"/>
          <w:sz w:val="24"/>
          <w:szCs w:val="24"/>
        </w:rPr>
        <w:t>,</w:t>
      </w:r>
      <w:r w:rsidRPr="000D6CFD">
        <w:rPr>
          <w:rFonts w:ascii="Times New Roman" w:hAnsi="Times New Roman"/>
          <w:sz w:val="24"/>
          <w:szCs w:val="24"/>
        </w:rPr>
        <w:t xml:space="preserve"> logo</w:t>
      </w:r>
      <w:r w:rsidR="00CD7E6B">
        <w:rPr>
          <w:rFonts w:ascii="Times New Roman" w:hAnsi="Times New Roman"/>
          <w:sz w:val="24"/>
          <w:szCs w:val="24"/>
        </w:rPr>
        <w:t>,</w:t>
      </w:r>
      <w:r w:rsidRPr="000D6CFD">
        <w:rPr>
          <w:rFonts w:ascii="Times New Roman" w:hAnsi="Times New Roman"/>
          <w:sz w:val="24"/>
          <w:szCs w:val="24"/>
        </w:rPr>
        <w:t xml:space="preserve"> diferentes setores a quatro dígitos. Esse índice capta os fluxos para cada tipo de mobilidade analisada, de modo que</w:t>
      </w:r>
      <w:r w:rsidR="00CD7E6B">
        <w:rPr>
          <w:rFonts w:ascii="Times New Roman" w:hAnsi="Times New Roman"/>
          <w:sz w:val="24"/>
          <w:szCs w:val="24"/>
        </w:rPr>
        <w:t>,</w:t>
      </w:r>
      <w:r w:rsidRPr="000D6CFD">
        <w:rPr>
          <w:rFonts w:ascii="Times New Roman" w:hAnsi="Times New Roman"/>
          <w:sz w:val="24"/>
          <w:szCs w:val="24"/>
        </w:rPr>
        <w:t xml:space="preserve"> por meio da equação 3</w:t>
      </w:r>
      <w:r w:rsidR="00CD7E6B">
        <w:rPr>
          <w:rFonts w:ascii="Times New Roman" w:hAnsi="Times New Roman"/>
          <w:sz w:val="24"/>
          <w:szCs w:val="24"/>
        </w:rPr>
        <w:t>,</w:t>
      </w:r>
      <w:r w:rsidRPr="000D6CFD">
        <w:rPr>
          <w:rFonts w:ascii="Times New Roman" w:hAnsi="Times New Roman"/>
          <w:sz w:val="24"/>
          <w:szCs w:val="24"/>
        </w:rPr>
        <w:t xml:space="preserve"> pode</w:t>
      </w:r>
      <w:r w:rsidR="00CD7E6B">
        <w:rPr>
          <w:rFonts w:ascii="Times New Roman" w:hAnsi="Times New Roman"/>
          <w:sz w:val="24"/>
          <w:szCs w:val="24"/>
        </w:rPr>
        <w:t>-</w:t>
      </w:r>
      <w:r w:rsidRPr="000D6CFD">
        <w:rPr>
          <w:rFonts w:ascii="Times New Roman" w:hAnsi="Times New Roman"/>
          <w:sz w:val="24"/>
          <w:szCs w:val="24"/>
        </w:rPr>
        <w:t>se obter a o grau de variedade não relacionada inter-regional, variedade não relacionada intrarregional e variedade não relacionada interfirma.</w:t>
      </w:r>
    </w:p>
    <w:p w14:paraId="2AE9C705" w14:textId="25B0ACA5" w:rsidR="00686CEC" w:rsidRDefault="000D6CFD" w:rsidP="008A26E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6CFD">
        <w:rPr>
          <w:rFonts w:ascii="Times New Roman" w:hAnsi="Times New Roman"/>
          <w:sz w:val="24"/>
          <w:szCs w:val="24"/>
        </w:rPr>
        <w:t xml:space="preserve">O transbordamento de conhecimento entre setores não relacionados é difícil, devido à distância cognitiva entre os setores (BOSCHMA </w:t>
      </w:r>
      <w:r w:rsidRPr="00FA5DDE">
        <w:rPr>
          <w:rFonts w:ascii="Times New Roman" w:hAnsi="Times New Roman"/>
          <w:i/>
          <w:sz w:val="24"/>
          <w:szCs w:val="24"/>
        </w:rPr>
        <w:t>et al</w:t>
      </w:r>
      <w:r w:rsidRPr="000D6CFD">
        <w:rPr>
          <w:rFonts w:ascii="Times New Roman" w:hAnsi="Times New Roman"/>
          <w:sz w:val="24"/>
          <w:szCs w:val="24"/>
        </w:rPr>
        <w:t>., 2014). Um elevado grau de variedade não relacionada indica que a região apresenta um portfólio de produtos e serviços diversificados</w:t>
      </w:r>
      <w:r w:rsidR="00C2417E">
        <w:rPr>
          <w:rFonts w:ascii="Times New Roman" w:hAnsi="Times New Roman"/>
          <w:sz w:val="24"/>
          <w:szCs w:val="24"/>
        </w:rPr>
        <w:t xml:space="preserve">, reduzindo os efeitos negativos na ocorrência de um choque de demanda (FRENKEN </w:t>
      </w:r>
      <w:r w:rsidR="00C2417E">
        <w:rPr>
          <w:rFonts w:ascii="Times New Roman" w:hAnsi="Times New Roman"/>
          <w:i/>
          <w:sz w:val="24"/>
          <w:szCs w:val="24"/>
        </w:rPr>
        <w:t>et al</w:t>
      </w:r>
      <w:r w:rsidR="00C2417E">
        <w:rPr>
          <w:rFonts w:ascii="Times New Roman" w:hAnsi="Times New Roman"/>
          <w:sz w:val="24"/>
          <w:szCs w:val="24"/>
        </w:rPr>
        <w:t>., 2007)</w:t>
      </w:r>
      <w:r w:rsidRPr="000D6CFD">
        <w:rPr>
          <w:rFonts w:ascii="Times New Roman" w:hAnsi="Times New Roman"/>
          <w:sz w:val="24"/>
          <w:szCs w:val="24"/>
        </w:rPr>
        <w:t>.</w:t>
      </w:r>
    </w:p>
    <w:p w14:paraId="6584E241" w14:textId="30514788" w:rsidR="0099605B" w:rsidRDefault="0099605B" w:rsidP="008A26E4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9605B">
        <w:rPr>
          <w:rFonts w:ascii="Times New Roman" w:eastAsia="Times New Roman" w:hAnsi="Times New Roman"/>
          <w:sz w:val="24"/>
          <w:szCs w:val="24"/>
        </w:rPr>
        <w:t xml:space="preserve">Foram utilizadas as seguintes variáveis de controle: aglomeração, capital humano, capacidade de pesquisa e desenvolvimento (P&amp;D) industrial, mobilidade líquida e taxa de mobilidade. A primeira foi calculada por meio da densidade populacional anual da </w:t>
      </w:r>
      <w:proofErr w:type="spellStart"/>
      <w:r w:rsidRPr="0099605B">
        <w:rPr>
          <w:rFonts w:ascii="Times New Roman" w:eastAsia="Times New Roman" w:hAnsi="Times New Roman"/>
          <w:sz w:val="24"/>
          <w:szCs w:val="24"/>
        </w:rPr>
        <w:t>Regic</w:t>
      </w:r>
      <w:proofErr w:type="spellEnd"/>
      <w:r w:rsidR="00CD7E6B">
        <w:rPr>
          <w:rFonts w:ascii="Times New Roman" w:eastAsia="Times New Roman" w:hAnsi="Times New Roman"/>
          <w:sz w:val="24"/>
          <w:szCs w:val="24"/>
        </w:rPr>
        <w:t>, proveniente</w:t>
      </w:r>
      <w:r w:rsidRPr="0099605B">
        <w:rPr>
          <w:rFonts w:ascii="Times New Roman" w:eastAsia="Times New Roman" w:hAnsi="Times New Roman"/>
          <w:sz w:val="24"/>
          <w:szCs w:val="24"/>
        </w:rPr>
        <w:t xml:space="preserve"> do IBGE. Foi utilizado como proxy </w:t>
      </w:r>
      <w:r w:rsidR="00CD7E6B">
        <w:rPr>
          <w:rFonts w:ascii="Times New Roman" w:eastAsia="Times New Roman" w:hAnsi="Times New Roman"/>
          <w:sz w:val="24"/>
          <w:szCs w:val="24"/>
        </w:rPr>
        <w:t xml:space="preserve">do capital humano regional </w:t>
      </w:r>
      <w:r w:rsidRPr="0099605B">
        <w:rPr>
          <w:rFonts w:ascii="Times New Roman" w:eastAsia="Times New Roman" w:hAnsi="Times New Roman"/>
          <w:sz w:val="24"/>
          <w:szCs w:val="24"/>
        </w:rPr>
        <w:t xml:space="preserve">o estoque anual de trabalhadores com ensino superior da </w:t>
      </w:r>
      <w:proofErr w:type="spellStart"/>
      <w:r w:rsidRPr="0099605B">
        <w:rPr>
          <w:rFonts w:ascii="Times New Roman" w:eastAsia="Times New Roman" w:hAnsi="Times New Roman"/>
          <w:sz w:val="24"/>
          <w:szCs w:val="24"/>
        </w:rPr>
        <w:t>Regic</w:t>
      </w:r>
      <w:proofErr w:type="spellEnd"/>
      <w:r w:rsidR="00CD7E6B">
        <w:rPr>
          <w:rFonts w:ascii="Times New Roman" w:eastAsia="Times New Roman" w:hAnsi="Times New Roman"/>
          <w:sz w:val="24"/>
          <w:szCs w:val="24"/>
        </w:rPr>
        <w:t xml:space="preserve">, que foi, </w:t>
      </w:r>
      <w:r w:rsidRPr="0099605B">
        <w:rPr>
          <w:rFonts w:ascii="Times New Roman" w:eastAsia="Times New Roman" w:hAnsi="Times New Roman"/>
          <w:sz w:val="24"/>
          <w:szCs w:val="24"/>
        </w:rPr>
        <w:t>então</w:t>
      </w:r>
      <w:r w:rsidR="00CD7E6B">
        <w:rPr>
          <w:rFonts w:ascii="Times New Roman" w:eastAsia="Times New Roman" w:hAnsi="Times New Roman"/>
          <w:sz w:val="24"/>
          <w:szCs w:val="24"/>
        </w:rPr>
        <w:t>,</w:t>
      </w:r>
      <w:r w:rsidRPr="0099605B">
        <w:rPr>
          <w:rFonts w:ascii="Times New Roman" w:eastAsia="Times New Roman" w:hAnsi="Times New Roman"/>
          <w:sz w:val="24"/>
          <w:szCs w:val="24"/>
        </w:rPr>
        <w:t xml:space="preserve"> dividido pelo total de trabalhadores da </w:t>
      </w:r>
      <w:proofErr w:type="spellStart"/>
      <w:r w:rsidRPr="0099605B">
        <w:rPr>
          <w:rFonts w:ascii="Times New Roman" w:eastAsia="Times New Roman" w:hAnsi="Times New Roman"/>
          <w:sz w:val="24"/>
          <w:szCs w:val="24"/>
        </w:rPr>
        <w:t>Regic</w:t>
      </w:r>
      <w:proofErr w:type="spellEnd"/>
      <w:r w:rsidRPr="0099605B">
        <w:rPr>
          <w:rFonts w:ascii="Times New Roman" w:eastAsia="Times New Roman" w:hAnsi="Times New Roman"/>
          <w:sz w:val="24"/>
          <w:szCs w:val="24"/>
        </w:rPr>
        <w:t>, ambos retirados da RAIS.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9605B">
        <w:rPr>
          <w:rFonts w:ascii="Times New Roman" w:eastAsia="Times New Roman" w:hAnsi="Times New Roman"/>
          <w:sz w:val="24"/>
          <w:szCs w:val="24"/>
        </w:rPr>
        <w:t>A capacidade de P&amp;D foi calculada pela razão entre o estoque de pessoal ocupado técnico-científico (</w:t>
      </w:r>
      <w:proofErr w:type="spellStart"/>
      <w:r w:rsidRPr="0099605B">
        <w:rPr>
          <w:rFonts w:ascii="Times New Roman" w:eastAsia="Times New Roman" w:hAnsi="Times New Roman"/>
          <w:sz w:val="24"/>
          <w:szCs w:val="24"/>
        </w:rPr>
        <w:t>PoTec</w:t>
      </w:r>
      <w:proofErr w:type="spellEnd"/>
      <w:r w:rsidRPr="0099605B">
        <w:rPr>
          <w:rFonts w:ascii="Times New Roman" w:eastAsia="Times New Roman" w:hAnsi="Times New Roman"/>
          <w:sz w:val="24"/>
          <w:szCs w:val="24"/>
        </w:rPr>
        <w:t xml:space="preserve">) da </w:t>
      </w:r>
      <w:proofErr w:type="spellStart"/>
      <w:r w:rsidRPr="0099605B">
        <w:rPr>
          <w:rFonts w:ascii="Times New Roman" w:eastAsia="Times New Roman" w:hAnsi="Times New Roman"/>
          <w:sz w:val="24"/>
          <w:szCs w:val="24"/>
        </w:rPr>
        <w:t>Regic</w:t>
      </w:r>
      <w:proofErr w:type="spellEnd"/>
      <w:r w:rsidRPr="0099605B">
        <w:rPr>
          <w:rFonts w:ascii="Times New Roman" w:eastAsia="Times New Roman" w:hAnsi="Times New Roman"/>
          <w:sz w:val="24"/>
          <w:szCs w:val="24"/>
        </w:rPr>
        <w:t xml:space="preserve"> e </w:t>
      </w:r>
      <w:r w:rsidR="00D7695E">
        <w:rPr>
          <w:rFonts w:ascii="Times New Roman" w:eastAsia="Times New Roman" w:hAnsi="Times New Roman"/>
          <w:sz w:val="24"/>
          <w:szCs w:val="24"/>
        </w:rPr>
        <w:t>seu</w:t>
      </w:r>
      <w:r w:rsidRPr="0099605B">
        <w:rPr>
          <w:rFonts w:ascii="Times New Roman" w:eastAsia="Times New Roman" w:hAnsi="Times New Roman"/>
          <w:sz w:val="24"/>
          <w:szCs w:val="24"/>
        </w:rPr>
        <w:t xml:space="preserve"> total de trabalhadores. A mobilidade líquida foi obtida por meio da subtração do número de emigrantes anuais </w:t>
      </w:r>
      <w:r w:rsidR="00D7695E" w:rsidRPr="0099605B">
        <w:rPr>
          <w:rFonts w:ascii="Times New Roman" w:eastAsia="Times New Roman" w:hAnsi="Times New Roman"/>
          <w:sz w:val="24"/>
          <w:szCs w:val="24"/>
        </w:rPr>
        <w:t xml:space="preserve">da </w:t>
      </w:r>
      <w:proofErr w:type="spellStart"/>
      <w:r w:rsidR="00D7695E" w:rsidRPr="0099605B">
        <w:rPr>
          <w:rFonts w:ascii="Times New Roman" w:eastAsia="Times New Roman" w:hAnsi="Times New Roman"/>
          <w:sz w:val="24"/>
          <w:szCs w:val="24"/>
        </w:rPr>
        <w:t>Regic</w:t>
      </w:r>
      <w:proofErr w:type="spellEnd"/>
      <w:r w:rsidR="00D7695E" w:rsidRPr="0099605B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605B">
        <w:rPr>
          <w:rFonts w:ascii="Times New Roman" w:eastAsia="Times New Roman" w:hAnsi="Times New Roman"/>
          <w:sz w:val="24"/>
          <w:szCs w:val="24"/>
        </w:rPr>
        <w:t>pelo número de imigrantes</w:t>
      </w:r>
      <w:r w:rsidR="00BB43A9">
        <w:rPr>
          <w:rFonts w:ascii="Times New Roman" w:eastAsia="Times New Roman" w:hAnsi="Times New Roman"/>
          <w:sz w:val="24"/>
          <w:szCs w:val="24"/>
        </w:rPr>
        <w:t>,</w:t>
      </w:r>
      <w:r w:rsidRPr="0099605B">
        <w:rPr>
          <w:rFonts w:ascii="Times New Roman" w:eastAsia="Times New Roman" w:hAnsi="Times New Roman"/>
          <w:sz w:val="24"/>
          <w:szCs w:val="24"/>
        </w:rPr>
        <w:t xml:space="preserve"> retirados da RAIS-MIGRA. A taxa de mobilidade</w:t>
      </w:r>
      <w:r w:rsidR="002A2426">
        <w:rPr>
          <w:rFonts w:ascii="Times New Roman" w:eastAsia="Times New Roman" w:hAnsi="Times New Roman"/>
          <w:sz w:val="24"/>
          <w:szCs w:val="24"/>
        </w:rPr>
        <w:t>,</w:t>
      </w:r>
      <w:r w:rsidRPr="0099605B">
        <w:rPr>
          <w:rFonts w:ascii="Times New Roman" w:eastAsia="Times New Roman" w:hAnsi="Times New Roman"/>
          <w:sz w:val="24"/>
          <w:szCs w:val="24"/>
        </w:rPr>
        <w:t xml:space="preserve"> </w:t>
      </w:r>
      <w:r w:rsidR="002A2426">
        <w:rPr>
          <w:rFonts w:ascii="Times New Roman" w:eastAsia="Times New Roman" w:hAnsi="Times New Roman"/>
          <w:sz w:val="24"/>
          <w:szCs w:val="24"/>
        </w:rPr>
        <w:t xml:space="preserve">por sua vez, </w:t>
      </w:r>
      <w:r w:rsidRPr="0099605B">
        <w:rPr>
          <w:rFonts w:ascii="Times New Roman" w:eastAsia="Times New Roman" w:hAnsi="Times New Roman"/>
          <w:sz w:val="24"/>
          <w:szCs w:val="24"/>
        </w:rPr>
        <w:t xml:space="preserve">foi calculada pela razão entre o número de </w:t>
      </w:r>
      <w:r w:rsidR="00E3670A">
        <w:rPr>
          <w:rFonts w:ascii="Times New Roman" w:eastAsia="Times New Roman" w:hAnsi="Times New Roman"/>
          <w:sz w:val="24"/>
          <w:szCs w:val="24"/>
        </w:rPr>
        <w:t>imigrantes</w:t>
      </w:r>
      <w:r w:rsidR="00E3670A" w:rsidRPr="0099605B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605B">
        <w:rPr>
          <w:rFonts w:ascii="Times New Roman" w:eastAsia="Times New Roman" w:hAnsi="Times New Roman"/>
          <w:sz w:val="24"/>
          <w:szCs w:val="24"/>
        </w:rPr>
        <w:t>anuais da R</w:t>
      </w:r>
      <w:r w:rsidR="000B7C24">
        <w:rPr>
          <w:rFonts w:ascii="Times New Roman" w:eastAsia="Times New Roman" w:hAnsi="Times New Roman"/>
          <w:sz w:val="24"/>
          <w:szCs w:val="24"/>
        </w:rPr>
        <w:t>egic</w:t>
      </w:r>
      <w:r w:rsidRPr="0099605B">
        <w:rPr>
          <w:rFonts w:ascii="Times New Roman" w:eastAsia="Times New Roman" w:hAnsi="Times New Roman"/>
          <w:sz w:val="24"/>
          <w:szCs w:val="24"/>
        </w:rPr>
        <w:t xml:space="preserve"> e </w:t>
      </w:r>
      <w:r w:rsidR="002A2426">
        <w:rPr>
          <w:rFonts w:ascii="Times New Roman" w:eastAsia="Times New Roman" w:hAnsi="Times New Roman"/>
          <w:sz w:val="24"/>
          <w:szCs w:val="24"/>
        </w:rPr>
        <w:t>su</w:t>
      </w:r>
      <w:r w:rsidRPr="0099605B">
        <w:rPr>
          <w:rFonts w:ascii="Times New Roman" w:eastAsia="Times New Roman" w:hAnsi="Times New Roman"/>
          <w:sz w:val="24"/>
          <w:szCs w:val="24"/>
        </w:rPr>
        <w:t>a quantidade de emprego anual.</w:t>
      </w:r>
    </w:p>
    <w:p w14:paraId="3327A7DD" w14:textId="77777777" w:rsidR="00D005DD" w:rsidRPr="0099605B" w:rsidRDefault="00D005DD" w:rsidP="008A26E4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35E8D6D8" w14:textId="77777777" w:rsidR="00401611" w:rsidRPr="0099605B" w:rsidRDefault="00E377A0" w:rsidP="005E564A">
      <w:pPr>
        <w:pStyle w:val="PargrafodaLista"/>
        <w:numPr>
          <w:ilvl w:val="0"/>
          <w:numId w:val="9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9605B">
        <w:rPr>
          <w:rFonts w:ascii="Times New Roman" w:hAnsi="Times New Roman"/>
          <w:b/>
          <w:sz w:val="24"/>
          <w:szCs w:val="24"/>
        </w:rPr>
        <w:t xml:space="preserve"> </w:t>
      </w:r>
      <w:r w:rsidR="004B17F1" w:rsidRPr="0099605B">
        <w:rPr>
          <w:rFonts w:ascii="Times New Roman" w:hAnsi="Times New Roman"/>
          <w:b/>
          <w:sz w:val="24"/>
          <w:szCs w:val="24"/>
        </w:rPr>
        <w:t>MODELO</w:t>
      </w:r>
      <w:r w:rsidR="009F71F8" w:rsidRPr="0099605B">
        <w:rPr>
          <w:rFonts w:ascii="Times New Roman" w:hAnsi="Times New Roman"/>
          <w:b/>
          <w:sz w:val="24"/>
          <w:szCs w:val="24"/>
        </w:rPr>
        <w:t xml:space="preserve"> </w:t>
      </w:r>
      <w:r w:rsidR="00BB43A9">
        <w:rPr>
          <w:rFonts w:ascii="Times New Roman" w:hAnsi="Times New Roman"/>
          <w:b/>
          <w:sz w:val="24"/>
          <w:szCs w:val="24"/>
        </w:rPr>
        <w:t>EMPÍRICO</w:t>
      </w:r>
    </w:p>
    <w:p w14:paraId="4086E047" w14:textId="77777777" w:rsidR="00E20B8B" w:rsidRDefault="00BF2724" w:rsidP="008A26E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forma geral </w:t>
      </w:r>
      <w:r w:rsidR="00BB43A9">
        <w:rPr>
          <w:rFonts w:ascii="Times New Roman" w:hAnsi="Times New Roman"/>
          <w:sz w:val="24"/>
          <w:szCs w:val="24"/>
        </w:rPr>
        <w:t xml:space="preserve">do modelo empírico </w:t>
      </w:r>
      <w:r>
        <w:rPr>
          <w:rFonts w:ascii="Times New Roman" w:hAnsi="Times New Roman"/>
          <w:sz w:val="24"/>
          <w:szCs w:val="24"/>
        </w:rPr>
        <w:t>pode ser expressa da seguinte forma: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4253"/>
        <w:gridCol w:w="2540"/>
      </w:tblGrid>
      <w:tr w:rsidR="004B17F1" w:rsidRPr="003F1A52" w14:paraId="5845D7B5" w14:textId="77777777" w:rsidTr="003F1A52">
        <w:tc>
          <w:tcPr>
            <w:tcW w:w="1701" w:type="dxa"/>
          </w:tcPr>
          <w:p w14:paraId="1156EC65" w14:textId="77777777" w:rsidR="004B17F1" w:rsidRPr="003F1A52" w:rsidRDefault="004B17F1" w:rsidP="008A26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EB7A80C" w14:textId="77777777" w:rsidR="004B17F1" w:rsidRPr="002D49FC" w:rsidRDefault="0092267E" w:rsidP="008A26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jt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jt-1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jt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CON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jt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jt</m:t>
                    </m:r>
                  </m:sub>
                </m:sSub>
              </m:oMath>
            </m:oMathPara>
          </w:p>
        </w:tc>
        <w:tc>
          <w:tcPr>
            <w:tcW w:w="2540" w:type="dxa"/>
          </w:tcPr>
          <w:p w14:paraId="76B6A787" w14:textId="77777777" w:rsidR="004B17F1" w:rsidRPr="003F1A52" w:rsidRDefault="004B17F1" w:rsidP="008A26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A52">
              <w:rPr>
                <w:rFonts w:ascii="Times New Roman" w:hAnsi="Times New Roman"/>
                <w:sz w:val="24"/>
                <w:szCs w:val="24"/>
              </w:rPr>
              <w:t>(</w:t>
            </w:r>
            <w:r w:rsidR="0099605B">
              <w:rPr>
                <w:rFonts w:ascii="Times New Roman" w:hAnsi="Times New Roman"/>
                <w:sz w:val="24"/>
                <w:szCs w:val="24"/>
              </w:rPr>
              <w:t>4</w:t>
            </w:r>
            <w:r w:rsidRPr="003F1A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43A9" w:rsidRPr="003F1A52" w14:paraId="1DD1BBC0" w14:textId="77777777" w:rsidTr="003F1A52">
        <w:tc>
          <w:tcPr>
            <w:tcW w:w="1701" w:type="dxa"/>
          </w:tcPr>
          <w:p w14:paraId="0A7129BA" w14:textId="77777777" w:rsidR="00BB43A9" w:rsidRPr="003F1A52" w:rsidRDefault="00BB43A9" w:rsidP="008A26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25A786C" w14:textId="77777777" w:rsidR="00BB43A9" w:rsidRPr="003F1A52" w:rsidDel="00BB43A9" w:rsidRDefault="00BB43A9" w:rsidP="008A26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53CA9562" w14:textId="77777777" w:rsidR="00BB43A9" w:rsidRPr="003F1A52" w:rsidDel="00BB43A9" w:rsidRDefault="00BB43A9" w:rsidP="008A26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1C84DA" w14:textId="269A36D7" w:rsidR="004F4B17" w:rsidRDefault="004B17F1" w:rsidP="008A26E4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1114A">
        <w:rPr>
          <w:rFonts w:ascii="Times New Roman" w:hAnsi="Times New Roman"/>
          <w:sz w:val="24"/>
          <w:szCs w:val="24"/>
        </w:rPr>
        <w:tab/>
      </w:r>
      <w:proofErr w:type="gramStart"/>
      <w:r w:rsidR="002A2426">
        <w:rPr>
          <w:rFonts w:ascii="Times New Roman" w:hAnsi="Times New Roman"/>
          <w:sz w:val="24"/>
          <w:szCs w:val="24"/>
        </w:rPr>
        <w:t>e</w:t>
      </w:r>
      <w:r w:rsidR="00E377A0">
        <w:rPr>
          <w:rFonts w:ascii="Times New Roman" w:hAnsi="Times New Roman"/>
          <w:sz w:val="24"/>
          <w:szCs w:val="24"/>
        </w:rPr>
        <w:t>m</w:t>
      </w:r>
      <w:proofErr w:type="gramEnd"/>
      <w:r w:rsidR="00E377A0">
        <w:rPr>
          <w:rFonts w:ascii="Times New Roman" w:hAnsi="Times New Roman"/>
          <w:sz w:val="24"/>
          <w:szCs w:val="24"/>
        </w:rPr>
        <w:t xml:space="preserve"> que</w:t>
      </w:r>
      <w:r w:rsidR="00E377A0" w:rsidRPr="00F1114A"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jt</m:t>
            </m:r>
          </m:sub>
        </m:sSub>
      </m:oMath>
      <w:r w:rsidRPr="00F1114A">
        <w:rPr>
          <w:rFonts w:ascii="Times New Roman" w:eastAsia="Times New Roman" w:hAnsi="Times New Roman"/>
          <w:sz w:val="24"/>
          <w:szCs w:val="24"/>
        </w:rPr>
        <w:t xml:space="preserve"> representa </w:t>
      </w:r>
      <w:r w:rsidR="0099605B">
        <w:rPr>
          <w:rFonts w:ascii="Times New Roman" w:eastAsia="Times New Roman" w:hAnsi="Times New Roman"/>
          <w:sz w:val="24"/>
          <w:szCs w:val="24"/>
        </w:rPr>
        <w:t>a</w:t>
      </w:r>
      <w:r w:rsidRPr="00F1114A">
        <w:rPr>
          <w:rFonts w:ascii="Times New Roman" w:eastAsia="Times New Roman" w:hAnsi="Times New Roman"/>
          <w:sz w:val="24"/>
          <w:szCs w:val="24"/>
        </w:rPr>
        <w:t xml:space="preserve"> </w:t>
      </w:r>
      <w:r w:rsidR="0099605B">
        <w:rPr>
          <w:rFonts w:ascii="Times New Roman" w:eastAsia="Times New Roman" w:hAnsi="Times New Roman"/>
          <w:sz w:val="24"/>
          <w:szCs w:val="24"/>
        </w:rPr>
        <w:t xml:space="preserve">variável dependente </w:t>
      </w:r>
      <w:r w:rsidRPr="00F1114A">
        <w:rPr>
          <w:rFonts w:ascii="Times New Roman" w:eastAsia="Times New Roman" w:hAnsi="Times New Roman"/>
          <w:sz w:val="24"/>
          <w:szCs w:val="24"/>
        </w:rPr>
        <w:t xml:space="preserve">de crescimento regional para cada </w:t>
      </w:r>
      <w:proofErr w:type="spellStart"/>
      <w:r w:rsidR="0099605B">
        <w:rPr>
          <w:rFonts w:ascii="Times New Roman" w:eastAsia="Times New Roman" w:hAnsi="Times New Roman"/>
          <w:sz w:val="24"/>
          <w:szCs w:val="24"/>
        </w:rPr>
        <w:t>Regic</w:t>
      </w:r>
      <w:proofErr w:type="spellEnd"/>
      <w:r w:rsidRPr="00F1114A">
        <w:rPr>
          <w:rFonts w:ascii="Times New Roman" w:eastAsia="Times New Roman" w:hAnsi="Times New Roman"/>
          <w:sz w:val="24"/>
          <w:szCs w:val="24"/>
        </w:rPr>
        <w:t xml:space="preserve"> </w:t>
      </w:r>
      <w:r w:rsidR="0099605B" w:rsidRPr="008E7A47">
        <w:rPr>
          <w:rFonts w:ascii="Times New Roman" w:eastAsia="Times New Roman" w:hAnsi="Times New Roman"/>
          <w:i/>
          <w:sz w:val="24"/>
          <w:szCs w:val="24"/>
        </w:rPr>
        <w:t>j</w:t>
      </w:r>
      <w:r w:rsidRPr="00F1114A">
        <w:rPr>
          <w:rFonts w:ascii="Times New Roman" w:eastAsia="Times New Roman" w:hAnsi="Times New Roman"/>
          <w:sz w:val="24"/>
          <w:szCs w:val="24"/>
        </w:rPr>
        <w:t xml:space="preserve"> no ano </w:t>
      </w:r>
      <w:r w:rsidRPr="008E7A47">
        <w:rPr>
          <w:rFonts w:ascii="Times New Roman" w:eastAsia="Times New Roman" w:hAnsi="Times New Roman"/>
          <w:i/>
          <w:sz w:val="24"/>
          <w:szCs w:val="24"/>
        </w:rPr>
        <w:t>t</w:t>
      </w:r>
      <w:r w:rsidRPr="00F1114A">
        <w:rPr>
          <w:rFonts w:ascii="Times New Roman" w:eastAsia="Times New Roman" w:hAnsi="Times New Roman"/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jt-1</m:t>
            </m:r>
          </m:sub>
        </m:sSub>
      </m:oMath>
      <w:r w:rsidRPr="00F1114A">
        <w:rPr>
          <w:rFonts w:ascii="Times New Roman" w:eastAsia="Times New Roman" w:hAnsi="Times New Roman"/>
          <w:sz w:val="24"/>
          <w:szCs w:val="24"/>
        </w:rPr>
        <w:t xml:space="preserve"> representa a defasagem</w:t>
      </w:r>
      <w:r w:rsidR="00BB43A9">
        <w:rPr>
          <w:rFonts w:ascii="Times New Roman" w:eastAsia="Times New Roman" w:hAnsi="Times New Roman"/>
          <w:sz w:val="24"/>
          <w:szCs w:val="24"/>
        </w:rPr>
        <w:t xml:space="preserve"> temporal</w:t>
      </w:r>
      <w:r w:rsidRPr="00F1114A">
        <w:rPr>
          <w:rFonts w:ascii="Times New Roman" w:eastAsia="Times New Roman" w:hAnsi="Times New Roman"/>
          <w:sz w:val="24"/>
          <w:szCs w:val="24"/>
        </w:rPr>
        <w:t xml:space="preserve"> das variáveis dependentes, pois acredita-se que os indicadores de crescimento no ano </w:t>
      </w:r>
      <w:r w:rsidRPr="008E7A47">
        <w:rPr>
          <w:rFonts w:ascii="Times New Roman" w:eastAsia="Times New Roman" w:hAnsi="Times New Roman"/>
          <w:i/>
          <w:sz w:val="24"/>
          <w:szCs w:val="24"/>
        </w:rPr>
        <w:t>t</w:t>
      </w:r>
      <w:r w:rsidRPr="00F1114A">
        <w:rPr>
          <w:rFonts w:ascii="Times New Roman" w:eastAsia="Times New Roman" w:hAnsi="Times New Roman"/>
          <w:sz w:val="24"/>
          <w:szCs w:val="24"/>
        </w:rPr>
        <w:t xml:space="preserve"> são influenciados pelos valores no ano </w:t>
      </w:r>
      <w:r w:rsidRPr="008E7A47">
        <w:rPr>
          <w:rFonts w:ascii="Times New Roman" w:eastAsia="Times New Roman" w:hAnsi="Times New Roman"/>
          <w:i/>
          <w:sz w:val="24"/>
          <w:szCs w:val="24"/>
        </w:rPr>
        <w:t>t</w:t>
      </w:r>
      <w:r w:rsidRPr="00F1114A">
        <w:rPr>
          <w:rFonts w:ascii="Times New Roman" w:eastAsia="Times New Roman" w:hAnsi="Times New Roman"/>
          <w:sz w:val="24"/>
          <w:szCs w:val="24"/>
        </w:rPr>
        <w:t xml:space="preserve">-1;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jt</m:t>
            </m:r>
          </m:sub>
        </m:sSub>
      </m:oMath>
      <w:r w:rsidRPr="00F1114A">
        <w:rPr>
          <w:rFonts w:ascii="Times New Roman" w:eastAsia="Times New Roman" w:hAnsi="Times New Roman"/>
          <w:sz w:val="24"/>
          <w:szCs w:val="24"/>
        </w:rPr>
        <w:t xml:space="preserve"> representa o conjunto de variáveis </w:t>
      </w:r>
      <w:r w:rsidR="00A439B7" w:rsidRPr="00F1114A">
        <w:rPr>
          <w:rFonts w:ascii="Times New Roman" w:eastAsia="Times New Roman" w:hAnsi="Times New Roman"/>
          <w:sz w:val="24"/>
          <w:szCs w:val="24"/>
        </w:rPr>
        <w:t>explicativas para</w:t>
      </w:r>
      <w:r w:rsidRPr="00F1114A">
        <w:rPr>
          <w:rFonts w:ascii="Times New Roman" w:eastAsia="Times New Roman" w:hAnsi="Times New Roman"/>
          <w:sz w:val="24"/>
          <w:szCs w:val="24"/>
        </w:rPr>
        <w:t xml:space="preserve"> cada </w:t>
      </w:r>
      <w:proofErr w:type="spellStart"/>
      <w:r w:rsidR="0099605B">
        <w:rPr>
          <w:rFonts w:ascii="Times New Roman" w:eastAsia="Times New Roman" w:hAnsi="Times New Roman"/>
          <w:sz w:val="24"/>
          <w:szCs w:val="24"/>
        </w:rPr>
        <w:t>Regic</w:t>
      </w:r>
      <w:proofErr w:type="spellEnd"/>
      <w:r w:rsidR="0099605B">
        <w:rPr>
          <w:rFonts w:ascii="Times New Roman" w:eastAsia="Times New Roman" w:hAnsi="Times New Roman"/>
          <w:sz w:val="24"/>
          <w:szCs w:val="24"/>
        </w:rPr>
        <w:t xml:space="preserve"> </w:t>
      </w:r>
      <w:r w:rsidR="0099605B" w:rsidRPr="008E7A47">
        <w:rPr>
          <w:rFonts w:ascii="Times New Roman" w:eastAsia="Times New Roman" w:hAnsi="Times New Roman"/>
          <w:i/>
          <w:sz w:val="24"/>
          <w:szCs w:val="24"/>
        </w:rPr>
        <w:t>j</w:t>
      </w:r>
      <w:r w:rsidRPr="00F1114A">
        <w:rPr>
          <w:rFonts w:ascii="Times New Roman" w:eastAsia="Times New Roman" w:hAnsi="Times New Roman"/>
          <w:sz w:val="24"/>
          <w:szCs w:val="24"/>
        </w:rPr>
        <w:t xml:space="preserve"> no ano </w:t>
      </w:r>
      <w:r w:rsidRPr="008E7A47">
        <w:rPr>
          <w:rFonts w:ascii="Times New Roman" w:eastAsia="Times New Roman" w:hAnsi="Times New Roman"/>
          <w:i/>
          <w:sz w:val="24"/>
          <w:szCs w:val="24"/>
        </w:rPr>
        <w:t>t</w:t>
      </w:r>
      <w:r w:rsidR="00FB5D61">
        <w:rPr>
          <w:rFonts w:ascii="Times New Roman" w:eastAsia="Times New Roman" w:hAnsi="Times New Roman"/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CON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jt</m:t>
            </m:r>
          </m:sub>
        </m:sSub>
      </m:oMath>
      <w:r w:rsidRPr="00F1114A">
        <w:rPr>
          <w:rFonts w:ascii="Times New Roman" w:eastAsia="Times New Roman" w:hAnsi="Times New Roman"/>
          <w:sz w:val="24"/>
          <w:szCs w:val="24"/>
        </w:rPr>
        <w:t xml:space="preserve"> </w:t>
      </w:r>
      <w:r w:rsidR="00FB5D61">
        <w:rPr>
          <w:rFonts w:ascii="Times New Roman" w:eastAsia="Times New Roman" w:hAnsi="Times New Roman"/>
          <w:sz w:val="24"/>
          <w:szCs w:val="24"/>
        </w:rPr>
        <w:t xml:space="preserve">representa o conjunto de controles utilizados para cada </w:t>
      </w:r>
      <w:proofErr w:type="spellStart"/>
      <w:r w:rsidR="0099605B">
        <w:rPr>
          <w:rFonts w:ascii="Times New Roman" w:eastAsia="Times New Roman" w:hAnsi="Times New Roman"/>
          <w:sz w:val="24"/>
          <w:szCs w:val="24"/>
        </w:rPr>
        <w:t>Regic</w:t>
      </w:r>
      <w:proofErr w:type="spellEnd"/>
      <w:r w:rsidR="0099605B">
        <w:rPr>
          <w:rFonts w:ascii="Times New Roman" w:eastAsia="Times New Roman" w:hAnsi="Times New Roman"/>
          <w:sz w:val="24"/>
          <w:szCs w:val="24"/>
        </w:rPr>
        <w:t xml:space="preserve"> </w:t>
      </w:r>
      <w:r w:rsidR="0099605B" w:rsidRPr="00D005DD">
        <w:rPr>
          <w:rFonts w:ascii="Times New Roman" w:eastAsia="Times New Roman" w:hAnsi="Times New Roman"/>
          <w:i/>
          <w:sz w:val="24"/>
          <w:szCs w:val="24"/>
        </w:rPr>
        <w:t>j</w:t>
      </w:r>
      <w:r w:rsidR="00FB5D61">
        <w:rPr>
          <w:rFonts w:ascii="Times New Roman" w:eastAsia="Times New Roman" w:hAnsi="Times New Roman"/>
          <w:sz w:val="24"/>
          <w:szCs w:val="24"/>
        </w:rPr>
        <w:t xml:space="preserve"> no ano </w:t>
      </w:r>
      <w:r w:rsidR="00FB5D61" w:rsidRPr="00D005DD">
        <w:rPr>
          <w:rFonts w:ascii="Times New Roman" w:eastAsia="Times New Roman" w:hAnsi="Times New Roman"/>
          <w:i/>
          <w:sz w:val="24"/>
          <w:szCs w:val="24"/>
        </w:rPr>
        <w:t>t</w:t>
      </w:r>
      <w:r w:rsidR="00FB5D6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1114A">
        <w:rPr>
          <w:rFonts w:ascii="Times New Roman" w:eastAsia="Times New Roman" w:hAnsi="Times New Roman"/>
          <w:sz w:val="24"/>
          <w:szCs w:val="24"/>
        </w:rPr>
        <w:t xml:space="preserve">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jt</m:t>
            </m:r>
          </m:sub>
        </m:sSub>
      </m:oMath>
      <w:r w:rsidRPr="00F1114A">
        <w:rPr>
          <w:rFonts w:ascii="Times New Roman" w:eastAsia="Times New Roman" w:hAnsi="Times New Roman"/>
          <w:sz w:val="24"/>
          <w:szCs w:val="24"/>
        </w:rPr>
        <w:t xml:space="preserve"> representa o termo de erro.</w:t>
      </w:r>
    </w:p>
    <w:p w14:paraId="796D36A5" w14:textId="165D85C3" w:rsidR="0099605B" w:rsidRPr="0099605B" w:rsidRDefault="0099605B" w:rsidP="008A26E4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9605B">
        <w:rPr>
          <w:rFonts w:ascii="Times New Roman" w:eastAsia="Times New Roman" w:hAnsi="Times New Roman"/>
          <w:sz w:val="24"/>
          <w:szCs w:val="24"/>
        </w:rPr>
        <w:t xml:space="preserve">Recentes trabalhos sobre mobilidade e crescimento apontam a </w:t>
      </w:r>
      <w:r w:rsidR="002A2426">
        <w:rPr>
          <w:rFonts w:ascii="Times New Roman" w:eastAsia="Times New Roman" w:hAnsi="Times New Roman"/>
          <w:sz w:val="24"/>
          <w:szCs w:val="24"/>
        </w:rPr>
        <w:t xml:space="preserve">possível </w:t>
      </w:r>
      <w:r w:rsidRPr="0099605B">
        <w:rPr>
          <w:rFonts w:ascii="Times New Roman" w:eastAsia="Times New Roman" w:hAnsi="Times New Roman"/>
          <w:sz w:val="24"/>
          <w:szCs w:val="24"/>
        </w:rPr>
        <w:t>existência de endogeneidade na relação entre as variáveis</w:t>
      </w:r>
      <w:r w:rsidR="00BB43A9">
        <w:rPr>
          <w:rFonts w:ascii="Times New Roman" w:eastAsia="Times New Roman" w:hAnsi="Times New Roman"/>
          <w:sz w:val="24"/>
          <w:szCs w:val="24"/>
        </w:rPr>
        <w:t xml:space="preserve"> testadas na equação 4</w:t>
      </w:r>
      <w:r w:rsidRPr="0099605B">
        <w:rPr>
          <w:rFonts w:ascii="Times New Roman" w:eastAsia="Times New Roman" w:hAnsi="Times New Roman"/>
          <w:sz w:val="24"/>
          <w:szCs w:val="24"/>
        </w:rPr>
        <w:t xml:space="preserve"> (FAGGIAN e M</w:t>
      </w:r>
      <w:r w:rsidR="00FA5DDE">
        <w:rPr>
          <w:rFonts w:ascii="Times New Roman" w:eastAsia="Times New Roman" w:hAnsi="Times New Roman"/>
          <w:sz w:val="24"/>
          <w:szCs w:val="24"/>
        </w:rPr>
        <w:t>C</w:t>
      </w:r>
      <w:r w:rsidRPr="0099605B">
        <w:rPr>
          <w:rFonts w:ascii="Times New Roman" w:eastAsia="Times New Roman" w:hAnsi="Times New Roman"/>
          <w:sz w:val="24"/>
          <w:szCs w:val="24"/>
        </w:rPr>
        <w:t xml:space="preserve">CANN, 2009; HARTOG </w:t>
      </w:r>
      <w:r w:rsidRPr="00FA5DDE">
        <w:rPr>
          <w:rFonts w:ascii="Times New Roman" w:eastAsia="Times New Roman" w:hAnsi="Times New Roman"/>
          <w:i/>
          <w:sz w:val="24"/>
          <w:szCs w:val="24"/>
        </w:rPr>
        <w:t>et al</w:t>
      </w:r>
      <w:r w:rsidRPr="0099605B">
        <w:rPr>
          <w:rFonts w:ascii="Times New Roman" w:eastAsia="Times New Roman" w:hAnsi="Times New Roman"/>
          <w:sz w:val="24"/>
          <w:szCs w:val="24"/>
        </w:rPr>
        <w:t xml:space="preserve">. 2012; BOSCHMA </w:t>
      </w:r>
      <w:r w:rsidRPr="00FA5DDE">
        <w:rPr>
          <w:rFonts w:ascii="Times New Roman" w:eastAsia="Times New Roman" w:hAnsi="Times New Roman"/>
          <w:i/>
          <w:sz w:val="24"/>
          <w:szCs w:val="24"/>
        </w:rPr>
        <w:t>et al</w:t>
      </w:r>
      <w:r w:rsidRPr="0099605B">
        <w:rPr>
          <w:rFonts w:ascii="Times New Roman" w:eastAsia="Times New Roman" w:hAnsi="Times New Roman"/>
          <w:sz w:val="24"/>
          <w:szCs w:val="24"/>
        </w:rPr>
        <w:t xml:space="preserve">. 2014), </w:t>
      </w:r>
      <w:r w:rsidR="002A2426">
        <w:rPr>
          <w:rFonts w:ascii="Times New Roman" w:eastAsia="Times New Roman" w:hAnsi="Times New Roman"/>
          <w:sz w:val="24"/>
          <w:szCs w:val="24"/>
        </w:rPr>
        <w:t>dado que além d</w:t>
      </w:r>
      <w:r w:rsidRPr="0099605B">
        <w:rPr>
          <w:rFonts w:ascii="Times New Roman" w:eastAsia="Times New Roman" w:hAnsi="Times New Roman"/>
          <w:sz w:val="24"/>
          <w:szCs w:val="24"/>
        </w:rPr>
        <w:t xml:space="preserve">as externalidades de mercado de trabalho </w:t>
      </w:r>
      <w:r w:rsidR="002A2426" w:rsidRPr="0099605B">
        <w:rPr>
          <w:rFonts w:ascii="Times New Roman" w:eastAsia="Times New Roman" w:hAnsi="Times New Roman"/>
          <w:sz w:val="24"/>
          <w:szCs w:val="24"/>
        </w:rPr>
        <w:t>induzir</w:t>
      </w:r>
      <w:r w:rsidR="002A2426">
        <w:rPr>
          <w:rFonts w:ascii="Times New Roman" w:eastAsia="Times New Roman" w:hAnsi="Times New Roman"/>
          <w:sz w:val="24"/>
          <w:szCs w:val="24"/>
        </w:rPr>
        <w:t>e</w:t>
      </w:r>
      <w:r w:rsidR="002A2426" w:rsidRPr="0099605B">
        <w:rPr>
          <w:rFonts w:ascii="Times New Roman" w:eastAsia="Times New Roman" w:hAnsi="Times New Roman"/>
          <w:sz w:val="24"/>
          <w:szCs w:val="24"/>
        </w:rPr>
        <w:t xml:space="preserve">m </w:t>
      </w:r>
      <w:r w:rsidRPr="0099605B">
        <w:rPr>
          <w:rFonts w:ascii="Times New Roman" w:eastAsia="Times New Roman" w:hAnsi="Times New Roman"/>
          <w:sz w:val="24"/>
          <w:szCs w:val="24"/>
        </w:rPr>
        <w:t>o crescimento regional, existe também a possibilidade de o crescimento regional ser um atrativo de mão de obra</w:t>
      </w:r>
      <w:r w:rsidR="00BB43A9">
        <w:rPr>
          <w:rFonts w:ascii="Times New Roman" w:eastAsia="Times New Roman" w:hAnsi="Times New Roman"/>
          <w:sz w:val="24"/>
          <w:szCs w:val="24"/>
        </w:rPr>
        <w:t>.</w:t>
      </w:r>
      <w:r w:rsidR="002A24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605B">
        <w:rPr>
          <w:rFonts w:ascii="Times New Roman" w:eastAsia="Times New Roman" w:hAnsi="Times New Roman"/>
          <w:sz w:val="24"/>
          <w:szCs w:val="24"/>
        </w:rPr>
        <w:t xml:space="preserve">Desse modo, </w:t>
      </w:r>
      <w:r w:rsidRPr="0099605B">
        <w:rPr>
          <w:rFonts w:ascii="Times New Roman" w:eastAsia="Times New Roman" w:hAnsi="Times New Roman"/>
          <w:sz w:val="24"/>
          <w:szCs w:val="24"/>
        </w:rPr>
        <w:lastRenderedPageBreak/>
        <w:t xml:space="preserve">foi utilizado o modelo de métodos de momentos generalizados (GMM) proposto por Arellano e Bond (1991) para corrigir o problema de endogeneidade. A </w:t>
      </w:r>
      <w:proofErr w:type="spellStart"/>
      <w:r w:rsidRPr="00F779CA">
        <w:rPr>
          <w:rFonts w:ascii="Times New Roman" w:eastAsia="Times New Roman" w:hAnsi="Times New Roman"/>
          <w:i/>
          <w:sz w:val="24"/>
          <w:szCs w:val="24"/>
        </w:rPr>
        <w:t>rationale</w:t>
      </w:r>
      <w:proofErr w:type="spellEnd"/>
      <w:r w:rsidRPr="0099605B">
        <w:rPr>
          <w:rFonts w:ascii="Times New Roman" w:eastAsia="Times New Roman" w:hAnsi="Times New Roman"/>
          <w:sz w:val="24"/>
          <w:szCs w:val="24"/>
        </w:rPr>
        <w:t xml:space="preserve"> desse modelo é diferenciar todas as variáveis a fim de remover efeitos regionais não observados e então utilizar instrumentos internos, baseados nas defasagens das variáveis em níveis, para resolver os problemas de endogeneidade.</w:t>
      </w:r>
    </w:p>
    <w:p w14:paraId="4FB8FAF3" w14:textId="26E13CB6" w:rsidR="0099605B" w:rsidRDefault="0099605B" w:rsidP="008A26E4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9605B">
        <w:rPr>
          <w:rFonts w:ascii="Times New Roman" w:eastAsia="Times New Roman" w:hAnsi="Times New Roman"/>
          <w:sz w:val="24"/>
          <w:szCs w:val="24"/>
        </w:rPr>
        <w:t>O poder de explicação do GMM depende da validade dos instrumentos utilizados na estimação</w:t>
      </w:r>
      <w:r w:rsidR="002A2426">
        <w:rPr>
          <w:rFonts w:ascii="Times New Roman" w:eastAsia="Times New Roman" w:hAnsi="Times New Roman"/>
          <w:sz w:val="24"/>
          <w:szCs w:val="24"/>
        </w:rPr>
        <w:t>,</w:t>
      </w:r>
      <w:r w:rsidRPr="0099605B">
        <w:rPr>
          <w:rFonts w:ascii="Times New Roman" w:eastAsia="Times New Roman" w:hAnsi="Times New Roman"/>
          <w:sz w:val="24"/>
          <w:szCs w:val="24"/>
        </w:rPr>
        <w:t xml:space="preserve"> que é verificada por meio dos testes de Sargan e Arellano-Bond (AR). O primeiro teste analisa se os instrumentos utilizados são exógenos como grupo, indica</w:t>
      </w:r>
      <w:r w:rsidR="00566D38">
        <w:rPr>
          <w:rFonts w:ascii="Times New Roman" w:eastAsia="Times New Roman" w:hAnsi="Times New Roman"/>
          <w:sz w:val="24"/>
          <w:szCs w:val="24"/>
        </w:rPr>
        <w:t>n</w:t>
      </w:r>
      <w:r w:rsidRPr="0099605B">
        <w:rPr>
          <w:rFonts w:ascii="Times New Roman" w:eastAsia="Times New Roman" w:hAnsi="Times New Roman"/>
          <w:sz w:val="24"/>
          <w:szCs w:val="24"/>
        </w:rPr>
        <w:t xml:space="preserve">do que o modelo é válido. O </w:t>
      </w:r>
      <w:r w:rsidR="00566D38">
        <w:rPr>
          <w:rFonts w:ascii="Times New Roman" w:eastAsia="Times New Roman" w:hAnsi="Times New Roman"/>
          <w:sz w:val="24"/>
          <w:szCs w:val="24"/>
        </w:rPr>
        <w:t>s</w:t>
      </w:r>
      <w:r w:rsidRPr="0099605B">
        <w:rPr>
          <w:rFonts w:ascii="Times New Roman" w:eastAsia="Times New Roman" w:hAnsi="Times New Roman"/>
          <w:sz w:val="24"/>
          <w:szCs w:val="24"/>
        </w:rPr>
        <w:t xml:space="preserve">egundo </w:t>
      </w:r>
      <w:r w:rsidR="002A2426">
        <w:rPr>
          <w:rFonts w:ascii="Times New Roman" w:eastAsia="Times New Roman" w:hAnsi="Times New Roman"/>
          <w:sz w:val="24"/>
          <w:szCs w:val="24"/>
        </w:rPr>
        <w:t>testa</w:t>
      </w:r>
      <w:r w:rsidRPr="0099605B">
        <w:rPr>
          <w:rFonts w:ascii="Times New Roman" w:eastAsia="Times New Roman" w:hAnsi="Times New Roman"/>
          <w:sz w:val="24"/>
          <w:szCs w:val="24"/>
        </w:rPr>
        <w:t xml:space="preserve"> a validade dos instrumentos por meio da autocorrelação nos termos de erro</w:t>
      </w:r>
      <w:r w:rsidR="00566D38">
        <w:rPr>
          <w:rFonts w:ascii="Times New Roman" w:eastAsia="Times New Roman" w:hAnsi="Times New Roman"/>
          <w:sz w:val="24"/>
          <w:szCs w:val="24"/>
        </w:rPr>
        <w:t>.</w:t>
      </w:r>
      <w:r w:rsidRPr="0099605B">
        <w:rPr>
          <w:rFonts w:ascii="Times New Roman" w:eastAsia="Times New Roman" w:hAnsi="Times New Roman"/>
          <w:sz w:val="24"/>
          <w:szCs w:val="24"/>
        </w:rPr>
        <w:t xml:space="preserve"> </w:t>
      </w:r>
      <w:r w:rsidR="00566D38">
        <w:rPr>
          <w:rFonts w:ascii="Times New Roman" w:eastAsia="Times New Roman" w:hAnsi="Times New Roman"/>
          <w:sz w:val="24"/>
          <w:szCs w:val="24"/>
        </w:rPr>
        <w:t>O</w:t>
      </w:r>
      <w:r w:rsidR="00566D38" w:rsidRPr="0099605B">
        <w:rPr>
          <w:rFonts w:ascii="Times New Roman" w:eastAsia="Times New Roman" w:hAnsi="Times New Roman"/>
          <w:sz w:val="24"/>
          <w:szCs w:val="24"/>
        </w:rPr>
        <w:t xml:space="preserve">s </w:t>
      </w:r>
      <w:r w:rsidRPr="0099605B">
        <w:rPr>
          <w:rFonts w:ascii="Times New Roman" w:eastAsia="Times New Roman" w:hAnsi="Times New Roman"/>
          <w:sz w:val="24"/>
          <w:szCs w:val="24"/>
        </w:rPr>
        <w:t>instrumentos são válidos ao ser comprovada que as defasagens dos regressores são exógenas.</w:t>
      </w:r>
      <w:r w:rsidR="002A2426">
        <w:rPr>
          <w:rFonts w:ascii="Times New Roman" w:eastAsia="Times New Roman" w:hAnsi="Times New Roman"/>
          <w:sz w:val="24"/>
          <w:szCs w:val="24"/>
        </w:rPr>
        <w:t xml:space="preserve"> Assim, f</w:t>
      </w:r>
      <w:r w:rsidRPr="0099605B">
        <w:rPr>
          <w:rFonts w:ascii="Times New Roman" w:eastAsia="Times New Roman" w:hAnsi="Times New Roman"/>
          <w:sz w:val="24"/>
          <w:szCs w:val="24"/>
        </w:rPr>
        <w:t>oram estimados GMM de um estágio e as defasagens das variáveis de externalidades de trabalho foram utilizadas como instrumentos para corrigir a endogeneidade entre mobilidade e crescimento regional.</w:t>
      </w:r>
    </w:p>
    <w:p w14:paraId="100328B2" w14:textId="77777777" w:rsidR="008A26E4" w:rsidRDefault="008A26E4" w:rsidP="008A26E4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06802ACD" w14:textId="77777777" w:rsidR="00401611" w:rsidRPr="0099605B" w:rsidRDefault="00C22EED" w:rsidP="005E564A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9605B">
        <w:rPr>
          <w:rFonts w:ascii="Times New Roman" w:hAnsi="Times New Roman"/>
          <w:b/>
          <w:sz w:val="24"/>
          <w:szCs w:val="24"/>
        </w:rPr>
        <w:t xml:space="preserve">MAPAS DE </w:t>
      </w:r>
      <w:r w:rsidR="004D4253">
        <w:rPr>
          <w:rFonts w:ascii="Times New Roman" w:hAnsi="Times New Roman"/>
          <w:b/>
          <w:sz w:val="24"/>
          <w:szCs w:val="24"/>
        </w:rPr>
        <w:t>EXTERNALIDADE DE TRABALHO</w:t>
      </w:r>
    </w:p>
    <w:p w14:paraId="4D40112E" w14:textId="799C71CB" w:rsidR="004D4253" w:rsidRDefault="004D4253" w:rsidP="00D873A5">
      <w:pPr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Foram construídos mapas a partir das variáveis de externalida</w:t>
      </w:r>
      <w:r w:rsidR="0019389E">
        <w:rPr>
          <w:rFonts w:ascii="Times New Roman" w:hAnsi="Times New Roman"/>
          <w:sz w:val="24"/>
          <w:szCs w:val="24"/>
        </w:rPr>
        <w:t>des de trabalho. A figura 1 apresenta os mapas das externalidades intrarregionais</w:t>
      </w:r>
      <w:r w:rsidR="00917C72">
        <w:rPr>
          <w:rFonts w:ascii="Times New Roman" w:hAnsi="Times New Roman"/>
          <w:sz w:val="24"/>
          <w:szCs w:val="24"/>
        </w:rPr>
        <w:t>: especialização intrarregional (I), variedade relacionada intrarregional (II) e variedade não relacionada intrarregional (III).</w:t>
      </w:r>
      <w:r w:rsidR="0019389E">
        <w:rPr>
          <w:rFonts w:ascii="Times New Roman" w:hAnsi="Times New Roman"/>
          <w:sz w:val="24"/>
          <w:szCs w:val="24"/>
        </w:rPr>
        <w:t xml:space="preserve"> </w:t>
      </w:r>
    </w:p>
    <w:p w14:paraId="7B063A40" w14:textId="29E2CD16" w:rsidR="0019389E" w:rsidRDefault="0019389E" w:rsidP="002A2426">
      <w:pPr>
        <w:spacing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Figura 1 – Mapas de externalidades de trabalho intrarregionais</w:t>
      </w:r>
      <w:r w:rsidR="00566D38">
        <w:rPr>
          <w:rFonts w:ascii="Times New Roman" w:hAnsi="Times New Roman"/>
          <w:sz w:val="24"/>
          <w:szCs w:val="24"/>
        </w:rPr>
        <w:t>.</w:t>
      </w:r>
    </w:p>
    <w:p w14:paraId="6D3B965B" w14:textId="01C50486" w:rsidR="002A2426" w:rsidRDefault="002A2426" w:rsidP="007B45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2D09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4646605D" wp14:editId="33695B98">
            <wp:extent cx="5511435" cy="2032000"/>
            <wp:effectExtent l="0" t="0" r="0" b="6350"/>
            <wp:docPr id="1" name="Imagem 1" descr="intra_gr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ra_grau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5926" cy="2033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389E" w:rsidRPr="0019389E">
        <w:rPr>
          <w:rFonts w:ascii="Times New Roman" w:hAnsi="Times New Roman"/>
          <w:sz w:val="20"/>
          <w:szCs w:val="20"/>
        </w:rPr>
        <w:t>Fonte: elaboração dos autores</w:t>
      </w:r>
      <w:r w:rsidR="006D24A2">
        <w:rPr>
          <w:rFonts w:ascii="Times New Roman" w:hAnsi="Times New Roman"/>
          <w:sz w:val="20"/>
          <w:szCs w:val="20"/>
        </w:rPr>
        <w:t>.</w:t>
      </w:r>
    </w:p>
    <w:p w14:paraId="27F2761F" w14:textId="4620CD33" w:rsidR="00C3687D" w:rsidRDefault="002A2426" w:rsidP="008A26E4">
      <w:pPr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partir da </w:t>
      </w:r>
      <w:r w:rsidR="004714CE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igura 1, pode-se observar que a</w:t>
      </w:r>
      <w:r w:rsidR="00877102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="00877102">
        <w:rPr>
          <w:rFonts w:ascii="Times New Roman" w:hAnsi="Times New Roman"/>
          <w:sz w:val="24"/>
          <w:szCs w:val="24"/>
        </w:rPr>
        <w:t>Regics</w:t>
      </w:r>
      <w:proofErr w:type="spellEnd"/>
      <w:r w:rsidR="00877102">
        <w:rPr>
          <w:rFonts w:ascii="Times New Roman" w:hAnsi="Times New Roman"/>
          <w:sz w:val="24"/>
          <w:szCs w:val="24"/>
        </w:rPr>
        <w:t xml:space="preserve"> brasileiras apresentam maiores graus de especialização que </w:t>
      </w:r>
      <w:r w:rsidR="00725F30">
        <w:rPr>
          <w:rFonts w:ascii="Times New Roman" w:hAnsi="Times New Roman"/>
          <w:sz w:val="24"/>
          <w:szCs w:val="24"/>
        </w:rPr>
        <w:t>de variedade relacionada e não relacionada</w:t>
      </w:r>
      <w:r w:rsidR="00877102">
        <w:rPr>
          <w:rFonts w:ascii="Times New Roman" w:hAnsi="Times New Roman"/>
          <w:sz w:val="24"/>
          <w:szCs w:val="24"/>
        </w:rPr>
        <w:t>, indicando a formação de regiões com conhecimento similares</w:t>
      </w:r>
      <w:r w:rsidR="00725F30">
        <w:rPr>
          <w:rFonts w:ascii="Times New Roman" w:hAnsi="Times New Roman"/>
          <w:sz w:val="24"/>
          <w:szCs w:val="24"/>
        </w:rPr>
        <w:t xml:space="preserve">. Pode-se perceber, portanto, </w:t>
      </w:r>
      <w:r w:rsidR="00DA70B2">
        <w:rPr>
          <w:rFonts w:ascii="Times New Roman" w:hAnsi="Times New Roman"/>
          <w:sz w:val="24"/>
          <w:szCs w:val="24"/>
        </w:rPr>
        <w:t>que, no</w:t>
      </w:r>
      <w:r w:rsidR="004D5896">
        <w:rPr>
          <w:rFonts w:ascii="Times New Roman" w:hAnsi="Times New Roman"/>
          <w:sz w:val="24"/>
          <w:szCs w:val="24"/>
        </w:rPr>
        <w:t xml:space="preserve"> Brasil</w:t>
      </w:r>
      <w:r w:rsidR="00725F30">
        <w:rPr>
          <w:rFonts w:ascii="Times New Roman" w:hAnsi="Times New Roman"/>
          <w:sz w:val="24"/>
          <w:szCs w:val="24"/>
        </w:rPr>
        <w:t>,</w:t>
      </w:r>
      <w:r w:rsidR="004D5896">
        <w:rPr>
          <w:rFonts w:ascii="Times New Roman" w:hAnsi="Times New Roman"/>
          <w:sz w:val="24"/>
          <w:szCs w:val="24"/>
        </w:rPr>
        <w:t xml:space="preserve"> o transbordamento de conhecimento é de curto alcance provavelmente devido às diferenças </w:t>
      </w:r>
      <w:r w:rsidR="00725F30">
        <w:rPr>
          <w:rFonts w:ascii="Times New Roman" w:hAnsi="Times New Roman"/>
          <w:sz w:val="24"/>
          <w:szCs w:val="24"/>
        </w:rPr>
        <w:t xml:space="preserve">tecnológicas </w:t>
      </w:r>
      <w:r w:rsidR="004D5896">
        <w:rPr>
          <w:rFonts w:ascii="Times New Roman" w:hAnsi="Times New Roman"/>
          <w:sz w:val="24"/>
          <w:szCs w:val="24"/>
        </w:rPr>
        <w:t>regionais</w:t>
      </w:r>
      <w:r w:rsidR="00C3687D">
        <w:rPr>
          <w:rFonts w:ascii="Times New Roman" w:hAnsi="Times New Roman"/>
          <w:sz w:val="24"/>
          <w:szCs w:val="24"/>
        </w:rPr>
        <w:t>, além se ser concentrado em setores similares.</w:t>
      </w:r>
      <w:r w:rsidR="00C3687D" w:rsidDel="00C3687D">
        <w:rPr>
          <w:rFonts w:ascii="Times New Roman" w:hAnsi="Times New Roman"/>
          <w:sz w:val="24"/>
          <w:szCs w:val="24"/>
        </w:rPr>
        <w:t xml:space="preserve"> </w:t>
      </w:r>
    </w:p>
    <w:p w14:paraId="09C6AEED" w14:textId="77777777" w:rsidR="00725F30" w:rsidRDefault="00877102" w:rsidP="008A26E4">
      <w:pPr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Pelo mapa </w:t>
      </w:r>
      <w:r w:rsidR="00A3090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percebe-se um padrão de especialização </w:t>
      </w:r>
      <w:r w:rsidR="00A30904">
        <w:rPr>
          <w:rFonts w:ascii="Times New Roman" w:hAnsi="Times New Roman"/>
          <w:sz w:val="24"/>
          <w:szCs w:val="24"/>
        </w:rPr>
        <w:t xml:space="preserve">relativamente </w:t>
      </w:r>
      <w:r>
        <w:rPr>
          <w:rFonts w:ascii="Times New Roman" w:hAnsi="Times New Roman"/>
          <w:sz w:val="24"/>
          <w:szCs w:val="24"/>
        </w:rPr>
        <w:t xml:space="preserve">homogêneo com </w:t>
      </w:r>
      <w:r w:rsidR="00A30904">
        <w:rPr>
          <w:rFonts w:ascii="Times New Roman" w:hAnsi="Times New Roman"/>
          <w:sz w:val="24"/>
          <w:szCs w:val="24"/>
        </w:rPr>
        <w:t>uma leve concentração nas regiões Centro-Oeste, Norte e Sul</w:t>
      </w:r>
      <w:r w:rsidR="002A2426">
        <w:rPr>
          <w:rFonts w:ascii="Times New Roman" w:hAnsi="Times New Roman"/>
          <w:sz w:val="24"/>
          <w:szCs w:val="24"/>
        </w:rPr>
        <w:t>. I</w:t>
      </w:r>
      <w:r w:rsidR="00A30904">
        <w:rPr>
          <w:rFonts w:ascii="Times New Roman" w:hAnsi="Times New Roman"/>
          <w:sz w:val="24"/>
          <w:szCs w:val="24"/>
        </w:rPr>
        <w:t>ndicando</w:t>
      </w:r>
      <w:r w:rsidR="002A2426">
        <w:rPr>
          <w:rFonts w:ascii="Times New Roman" w:hAnsi="Times New Roman"/>
          <w:sz w:val="24"/>
          <w:szCs w:val="24"/>
        </w:rPr>
        <w:t>-se, portanto,</w:t>
      </w:r>
      <w:r w:rsidR="00A30904">
        <w:rPr>
          <w:rFonts w:ascii="Times New Roman" w:hAnsi="Times New Roman"/>
          <w:sz w:val="24"/>
          <w:szCs w:val="24"/>
        </w:rPr>
        <w:t xml:space="preserve"> que as </w:t>
      </w:r>
      <w:proofErr w:type="spellStart"/>
      <w:r w:rsidR="00A30904">
        <w:rPr>
          <w:rFonts w:ascii="Times New Roman" w:hAnsi="Times New Roman"/>
          <w:sz w:val="24"/>
          <w:szCs w:val="24"/>
        </w:rPr>
        <w:t>Regics</w:t>
      </w:r>
      <w:proofErr w:type="spellEnd"/>
      <w:r w:rsidR="00A30904">
        <w:rPr>
          <w:rFonts w:ascii="Times New Roman" w:hAnsi="Times New Roman"/>
          <w:sz w:val="24"/>
          <w:szCs w:val="24"/>
        </w:rPr>
        <w:t xml:space="preserve"> dessas regiões possuem </w:t>
      </w:r>
      <w:r w:rsidR="00B065C2">
        <w:rPr>
          <w:rFonts w:ascii="Times New Roman" w:hAnsi="Times New Roman"/>
          <w:sz w:val="24"/>
          <w:szCs w:val="24"/>
        </w:rPr>
        <w:t xml:space="preserve">um elevado </w:t>
      </w:r>
      <w:r w:rsidR="002516D5">
        <w:rPr>
          <w:rFonts w:ascii="Times New Roman" w:hAnsi="Times New Roman"/>
          <w:sz w:val="24"/>
          <w:szCs w:val="24"/>
        </w:rPr>
        <w:t>fluxo</w:t>
      </w:r>
      <w:r w:rsidR="00B065C2">
        <w:rPr>
          <w:rFonts w:ascii="Times New Roman" w:hAnsi="Times New Roman"/>
          <w:sz w:val="24"/>
          <w:szCs w:val="24"/>
        </w:rPr>
        <w:t xml:space="preserve"> de mão de obra qualificada especializada nos mesmos setores.</w:t>
      </w:r>
      <w:r w:rsidR="00A30904">
        <w:rPr>
          <w:rFonts w:ascii="Times New Roman" w:hAnsi="Times New Roman"/>
          <w:sz w:val="24"/>
          <w:szCs w:val="24"/>
        </w:rPr>
        <w:t xml:space="preserve"> </w:t>
      </w:r>
    </w:p>
    <w:p w14:paraId="4F068BF0" w14:textId="4E50FCA2" w:rsidR="00725F30" w:rsidRDefault="00A30904" w:rsidP="008A26E4">
      <w:pPr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mapa II, </w:t>
      </w:r>
      <w:r w:rsidR="00D66100">
        <w:rPr>
          <w:rFonts w:ascii="Times New Roman" w:hAnsi="Times New Roman"/>
          <w:sz w:val="24"/>
          <w:szCs w:val="24"/>
        </w:rPr>
        <w:t xml:space="preserve">as </w:t>
      </w:r>
      <w:proofErr w:type="spellStart"/>
      <w:r w:rsidR="00D66100">
        <w:rPr>
          <w:rFonts w:ascii="Times New Roman" w:hAnsi="Times New Roman"/>
          <w:sz w:val="24"/>
          <w:szCs w:val="24"/>
        </w:rPr>
        <w:t>Regics</w:t>
      </w:r>
      <w:proofErr w:type="spellEnd"/>
      <w:r w:rsidR="00D66100">
        <w:rPr>
          <w:rFonts w:ascii="Times New Roman" w:hAnsi="Times New Roman"/>
          <w:sz w:val="24"/>
          <w:szCs w:val="24"/>
        </w:rPr>
        <w:t xml:space="preserve"> com maiores graus de variedade relacionada são concentradas nas regiões Sudeste e Sul, </w:t>
      </w:r>
      <w:r w:rsidR="00725F30">
        <w:rPr>
          <w:rFonts w:ascii="Times New Roman" w:hAnsi="Times New Roman"/>
          <w:sz w:val="24"/>
          <w:szCs w:val="24"/>
        </w:rPr>
        <w:t xml:space="preserve">sugerindo </w:t>
      </w:r>
      <w:r w:rsidR="00D66100">
        <w:rPr>
          <w:rFonts w:ascii="Times New Roman" w:hAnsi="Times New Roman"/>
          <w:sz w:val="24"/>
          <w:szCs w:val="24"/>
        </w:rPr>
        <w:t xml:space="preserve">uma maior variedade de conhecimento </w:t>
      </w:r>
      <w:r w:rsidR="00993070">
        <w:rPr>
          <w:rFonts w:ascii="Times New Roman" w:hAnsi="Times New Roman"/>
          <w:sz w:val="24"/>
          <w:szCs w:val="24"/>
        </w:rPr>
        <w:t xml:space="preserve">adquirida por meio da mobilidade de indivíduos </w:t>
      </w:r>
      <w:r w:rsidR="00D66100">
        <w:rPr>
          <w:rFonts w:ascii="Times New Roman" w:hAnsi="Times New Roman"/>
          <w:sz w:val="24"/>
          <w:szCs w:val="24"/>
        </w:rPr>
        <w:t>nessas regiões</w:t>
      </w:r>
      <w:r w:rsidR="00725F30">
        <w:rPr>
          <w:rFonts w:ascii="Times New Roman" w:hAnsi="Times New Roman"/>
          <w:sz w:val="24"/>
          <w:szCs w:val="24"/>
        </w:rPr>
        <w:t>.</w:t>
      </w:r>
      <w:r w:rsidR="000E2E16">
        <w:rPr>
          <w:rFonts w:ascii="Times New Roman" w:hAnsi="Times New Roman"/>
          <w:sz w:val="24"/>
          <w:szCs w:val="24"/>
        </w:rPr>
        <w:t xml:space="preserve"> </w:t>
      </w:r>
      <w:r w:rsidR="00725F30">
        <w:rPr>
          <w:rFonts w:ascii="Times New Roman" w:hAnsi="Times New Roman"/>
          <w:sz w:val="24"/>
          <w:szCs w:val="24"/>
        </w:rPr>
        <w:t>Destaca-se</w:t>
      </w:r>
      <w:r w:rsidR="000E2E16">
        <w:rPr>
          <w:rFonts w:ascii="Times New Roman" w:hAnsi="Times New Roman"/>
          <w:sz w:val="24"/>
          <w:szCs w:val="24"/>
        </w:rPr>
        <w:t xml:space="preserve"> que as regiões </w:t>
      </w:r>
      <w:r w:rsidR="000E2E16">
        <w:rPr>
          <w:rFonts w:ascii="Times New Roman" w:hAnsi="Times New Roman"/>
          <w:sz w:val="24"/>
          <w:szCs w:val="24"/>
        </w:rPr>
        <w:lastRenderedPageBreak/>
        <w:t>com maiores graus de conhecimento relacionad</w:t>
      </w:r>
      <w:r w:rsidR="007B4599">
        <w:rPr>
          <w:rFonts w:ascii="Times New Roman" w:hAnsi="Times New Roman"/>
          <w:sz w:val="24"/>
          <w:szCs w:val="24"/>
        </w:rPr>
        <w:t>o</w:t>
      </w:r>
      <w:r w:rsidR="000E2E16">
        <w:rPr>
          <w:rFonts w:ascii="Times New Roman" w:hAnsi="Times New Roman"/>
          <w:sz w:val="24"/>
          <w:szCs w:val="24"/>
        </w:rPr>
        <w:t xml:space="preserve"> são também as mais desenvolvidas do país, de modo que a proximidade cognitiva e </w:t>
      </w:r>
      <w:r w:rsidR="00725F30">
        <w:rPr>
          <w:rFonts w:ascii="Times New Roman" w:hAnsi="Times New Roman"/>
          <w:sz w:val="24"/>
          <w:szCs w:val="24"/>
        </w:rPr>
        <w:t xml:space="preserve">a </w:t>
      </w:r>
      <w:r w:rsidR="000E2E16">
        <w:rPr>
          <w:rFonts w:ascii="Times New Roman" w:hAnsi="Times New Roman"/>
          <w:sz w:val="24"/>
          <w:szCs w:val="24"/>
        </w:rPr>
        <w:t xml:space="preserve">absorção de conhecimentos </w:t>
      </w:r>
      <w:r w:rsidR="00725F30">
        <w:rPr>
          <w:rFonts w:ascii="Times New Roman" w:hAnsi="Times New Roman"/>
          <w:sz w:val="24"/>
          <w:szCs w:val="24"/>
        </w:rPr>
        <w:t xml:space="preserve">podem possuir </w:t>
      </w:r>
      <w:r w:rsidR="000E2E16">
        <w:rPr>
          <w:rFonts w:ascii="Times New Roman" w:hAnsi="Times New Roman"/>
          <w:sz w:val="24"/>
          <w:szCs w:val="24"/>
        </w:rPr>
        <w:t>um impacto positivo no nível de desenvolvimento regional</w:t>
      </w:r>
      <w:r w:rsidR="006D24A2">
        <w:rPr>
          <w:rFonts w:ascii="Times New Roman" w:hAnsi="Times New Roman"/>
          <w:sz w:val="24"/>
          <w:szCs w:val="24"/>
        </w:rPr>
        <w:t>.</w:t>
      </w:r>
      <w:r w:rsidR="00D66100">
        <w:rPr>
          <w:rFonts w:ascii="Times New Roman" w:hAnsi="Times New Roman"/>
          <w:sz w:val="24"/>
          <w:szCs w:val="24"/>
        </w:rPr>
        <w:t xml:space="preserve"> </w:t>
      </w:r>
    </w:p>
    <w:p w14:paraId="5F77DC46" w14:textId="3D775AD4" w:rsidR="00725F30" w:rsidRDefault="006D24A2" w:rsidP="008A26E4">
      <w:pPr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66100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="00D66100">
        <w:rPr>
          <w:rFonts w:ascii="Times New Roman" w:hAnsi="Times New Roman"/>
          <w:sz w:val="24"/>
          <w:szCs w:val="24"/>
        </w:rPr>
        <w:t>Regics</w:t>
      </w:r>
      <w:proofErr w:type="spellEnd"/>
      <w:r w:rsidR="00D66100">
        <w:rPr>
          <w:rFonts w:ascii="Times New Roman" w:hAnsi="Times New Roman"/>
          <w:sz w:val="24"/>
          <w:szCs w:val="24"/>
        </w:rPr>
        <w:t xml:space="preserve"> da região Norte também apresentaram consideráveis graus de variedade de conhecimento, indicando que essas apresentam elevados graus tanto de especialização como de variedade relacionada.</w:t>
      </w:r>
      <w:r w:rsidR="007C60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5F30">
        <w:rPr>
          <w:rFonts w:ascii="Times New Roman" w:hAnsi="Times New Roman"/>
          <w:sz w:val="24"/>
          <w:szCs w:val="24"/>
        </w:rPr>
        <w:t>Obeserva-se</w:t>
      </w:r>
      <w:proofErr w:type="spellEnd"/>
      <w:r w:rsidR="00725F30">
        <w:rPr>
          <w:rFonts w:ascii="Times New Roman" w:hAnsi="Times New Roman"/>
          <w:sz w:val="24"/>
          <w:szCs w:val="24"/>
        </w:rPr>
        <w:t xml:space="preserve"> que, esta região, por possuir baixo desenvolvimento, adquire o conhecimento tecnológico através da mobilidade de trabalhadores qualificados, similar à que já possuíam. Isto se deve a facilidade de absorção deste tipo de conhecimento</w:t>
      </w:r>
    </w:p>
    <w:p w14:paraId="3FF780FB" w14:textId="4FA3D9DC" w:rsidR="00877102" w:rsidRDefault="007C6035" w:rsidP="008A26E4">
      <w:pPr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grau de variedade não relacionada</w:t>
      </w:r>
      <w:r w:rsidR="0060752E">
        <w:rPr>
          <w:rFonts w:ascii="Times New Roman" w:hAnsi="Times New Roman"/>
          <w:sz w:val="24"/>
          <w:szCs w:val="24"/>
        </w:rPr>
        <w:t xml:space="preserve"> (mapa III)</w:t>
      </w:r>
      <w:r w:rsidR="00725F30">
        <w:rPr>
          <w:rFonts w:ascii="Times New Roman" w:hAnsi="Times New Roman"/>
          <w:sz w:val="24"/>
          <w:szCs w:val="24"/>
        </w:rPr>
        <w:t>, por sua vez,</w:t>
      </w:r>
      <w:r>
        <w:rPr>
          <w:rFonts w:ascii="Times New Roman" w:hAnsi="Times New Roman"/>
          <w:sz w:val="24"/>
          <w:szCs w:val="24"/>
        </w:rPr>
        <w:t xml:space="preserve"> é o</w:t>
      </w:r>
      <w:r w:rsidR="0060752E">
        <w:rPr>
          <w:rFonts w:ascii="Times New Roman" w:hAnsi="Times New Roman"/>
          <w:sz w:val="24"/>
          <w:szCs w:val="24"/>
        </w:rPr>
        <w:t xml:space="preserve"> com</w:t>
      </w:r>
      <w:r>
        <w:rPr>
          <w:rFonts w:ascii="Times New Roman" w:hAnsi="Times New Roman"/>
          <w:sz w:val="24"/>
          <w:szCs w:val="24"/>
        </w:rPr>
        <w:t xml:space="preserve"> menor</w:t>
      </w:r>
      <w:r w:rsidR="0060752E">
        <w:rPr>
          <w:rFonts w:ascii="Times New Roman" w:hAnsi="Times New Roman"/>
          <w:sz w:val="24"/>
          <w:szCs w:val="24"/>
        </w:rPr>
        <w:t>es índices</w:t>
      </w:r>
      <w:r>
        <w:rPr>
          <w:rFonts w:ascii="Times New Roman" w:hAnsi="Times New Roman"/>
          <w:sz w:val="24"/>
          <w:szCs w:val="24"/>
        </w:rPr>
        <w:t xml:space="preserve"> das externalidades de trabalho analisadas</w:t>
      </w:r>
      <w:r w:rsidR="006D24A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se concentra</w:t>
      </w:r>
      <w:r w:rsidR="006D24A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do nas regiões Sudeste e Sul.</w:t>
      </w:r>
      <w:r w:rsidR="00725F30">
        <w:rPr>
          <w:rFonts w:ascii="Times New Roman" w:hAnsi="Times New Roman"/>
          <w:sz w:val="24"/>
          <w:szCs w:val="24"/>
        </w:rPr>
        <w:t xml:space="preserve"> Este tipo de mobilidade, é dificultada pela baixa capacidade de absorção de conhecimento tecnológico da indústria brasileira, causada pelo baixo investimento interno deste conhecimento. Por isso, é natural que se concentre nas regiões mais desenvolvidas do país.</w:t>
      </w:r>
    </w:p>
    <w:p w14:paraId="0AD410C3" w14:textId="130D780F" w:rsidR="00E72B6A" w:rsidRDefault="00E72B6A" w:rsidP="008A26E4">
      <w:pPr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4714CE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igura 2 apresenta os mapas das externalidades inter-regionais: especialização inter-regional (I), variedade relacionada inter-regional (II) e variedade não relacionada inter-regional (III).</w:t>
      </w:r>
    </w:p>
    <w:p w14:paraId="1EF16950" w14:textId="6E7CF9BD" w:rsidR="007B7EEB" w:rsidRDefault="005F0F25" w:rsidP="007B7EEB">
      <w:pPr>
        <w:spacing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C01E4C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43C35D12" wp14:editId="09F92C3A">
            <wp:simplePos x="0" y="0"/>
            <wp:positionH relativeFrom="margin">
              <wp:align>right</wp:align>
            </wp:positionH>
            <wp:positionV relativeFrom="paragraph">
              <wp:posOffset>234950</wp:posOffset>
            </wp:positionV>
            <wp:extent cx="5562600" cy="1834515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r_grau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EEB">
        <w:rPr>
          <w:rFonts w:ascii="Times New Roman" w:hAnsi="Times New Roman"/>
          <w:sz w:val="24"/>
          <w:szCs w:val="24"/>
        </w:rPr>
        <w:t>Figura 2 – Mapas de externalidades de trabalho inter-regionais.</w:t>
      </w:r>
    </w:p>
    <w:p w14:paraId="03206F7A" w14:textId="76246D2B" w:rsidR="007B7EEB" w:rsidRDefault="007B7EEB" w:rsidP="007B4599">
      <w:pPr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14:paraId="5D09D97D" w14:textId="13EA451E" w:rsidR="007B7EEB" w:rsidRDefault="006632FC" w:rsidP="00C01E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389E">
        <w:rPr>
          <w:rFonts w:ascii="Times New Roman" w:hAnsi="Times New Roman"/>
          <w:sz w:val="20"/>
          <w:szCs w:val="20"/>
        </w:rPr>
        <w:t>Fonte: elaboração dos autores</w:t>
      </w:r>
      <w:r>
        <w:rPr>
          <w:rFonts w:ascii="Times New Roman" w:hAnsi="Times New Roman"/>
          <w:sz w:val="20"/>
          <w:szCs w:val="20"/>
        </w:rPr>
        <w:t>.</w:t>
      </w:r>
    </w:p>
    <w:p w14:paraId="5DE969F3" w14:textId="1739B1D3" w:rsidR="007B7EEB" w:rsidRDefault="007B7EEB" w:rsidP="008A26E4">
      <w:pPr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Pela </w:t>
      </w:r>
      <w:r w:rsidR="004714CE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igura 2</w:t>
      </w:r>
      <w:r w:rsidR="005F0F25">
        <w:rPr>
          <w:rFonts w:ascii="Times New Roman" w:hAnsi="Times New Roman"/>
          <w:sz w:val="24"/>
          <w:szCs w:val="24"/>
        </w:rPr>
        <w:t xml:space="preserve">, ao se levar em conta a mobilidade inter-regional, a variedade de conhecimento, mensurada pela variedade relacionada e variedade não relacionada, é </w:t>
      </w:r>
      <w:r w:rsidR="00F5275E">
        <w:rPr>
          <w:rFonts w:ascii="Times New Roman" w:hAnsi="Times New Roman"/>
          <w:sz w:val="24"/>
          <w:szCs w:val="24"/>
        </w:rPr>
        <w:t xml:space="preserve">mais intensa que a similaridade de conhecimento. </w:t>
      </w:r>
      <w:r w:rsidR="0053127D">
        <w:rPr>
          <w:rFonts w:ascii="Times New Roman" w:hAnsi="Times New Roman"/>
          <w:sz w:val="24"/>
          <w:szCs w:val="24"/>
        </w:rPr>
        <w:t xml:space="preserve">Um indício que </w:t>
      </w:r>
      <w:r w:rsidR="00F6260A">
        <w:rPr>
          <w:rFonts w:ascii="Times New Roman" w:hAnsi="Times New Roman"/>
          <w:sz w:val="24"/>
          <w:szCs w:val="24"/>
        </w:rPr>
        <w:t xml:space="preserve">ao levar em conta a mobilidade de </w:t>
      </w:r>
      <w:proofErr w:type="spellStart"/>
      <w:r w:rsidR="00F6260A">
        <w:rPr>
          <w:rFonts w:ascii="Times New Roman" w:hAnsi="Times New Roman"/>
          <w:sz w:val="24"/>
          <w:szCs w:val="24"/>
        </w:rPr>
        <w:t>Regic</w:t>
      </w:r>
      <w:proofErr w:type="spellEnd"/>
      <w:r w:rsidR="00F6260A">
        <w:rPr>
          <w:rFonts w:ascii="Times New Roman" w:hAnsi="Times New Roman"/>
          <w:sz w:val="24"/>
          <w:szCs w:val="24"/>
        </w:rPr>
        <w:t>, os indivíduos tendem também a mudar o setor a quatro dígitos.</w:t>
      </w:r>
    </w:p>
    <w:p w14:paraId="2CD90BEC" w14:textId="74F69D8E" w:rsidR="00F6260A" w:rsidRDefault="00F6260A" w:rsidP="008A26E4">
      <w:pPr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mapa </w:t>
      </w:r>
      <w:r w:rsidR="00AC2F9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o padrão de especialização se concentra na</w:t>
      </w:r>
      <w:r w:rsidR="00285B2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regi</w:t>
      </w:r>
      <w:r w:rsidR="00285B2C">
        <w:rPr>
          <w:rFonts w:ascii="Times New Roman" w:hAnsi="Times New Roman"/>
          <w:sz w:val="24"/>
          <w:szCs w:val="24"/>
        </w:rPr>
        <w:t>ões</w:t>
      </w:r>
      <w:r>
        <w:rPr>
          <w:rFonts w:ascii="Times New Roman" w:hAnsi="Times New Roman"/>
          <w:sz w:val="24"/>
          <w:szCs w:val="24"/>
        </w:rPr>
        <w:t xml:space="preserve"> </w:t>
      </w:r>
      <w:r w:rsidR="00285B2C">
        <w:rPr>
          <w:rFonts w:ascii="Times New Roman" w:hAnsi="Times New Roman"/>
          <w:sz w:val="24"/>
          <w:szCs w:val="24"/>
        </w:rPr>
        <w:t xml:space="preserve">Centro-Oeste e </w:t>
      </w:r>
      <w:r>
        <w:rPr>
          <w:rFonts w:ascii="Times New Roman" w:hAnsi="Times New Roman"/>
          <w:sz w:val="24"/>
          <w:szCs w:val="24"/>
        </w:rPr>
        <w:t xml:space="preserve">Norte sendo possível afirmar que as </w:t>
      </w:r>
      <w:proofErr w:type="spellStart"/>
      <w:r>
        <w:rPr>
          <w:rFonts w:ascii="Times New Roman" w:hAnsi="Times New Roman"/>
          <w:sz w:val="24"/>
          <w:szCs w:val="24"/>
        </w:rPr>
        <w:t>Regics</w:t>
      </w:r>
      <w:proofErr w:type="spellEnd"/>
      <w:r>
        <w:rPr>
          <w:rFonts w:ascii="Times New Roman" w:hAnsi="Times New Roman"/>
          <w:sz w:val="24"/>
          <w:szCs w:val="24"/>
        </w:rPr>
        <w:t xml:space="preserve"> dessa</w:t>
      </w:r>
      <w:r w:rsidR="00285B2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regi</w:t>
      </w:r>
      <w:r w:rsidR="00285B2C">
        <w:rPr>
          <w:rFonts w:ascii="Times New Roman" w:hAnsi="Times New Roman"/>
          <w:sz w:val="24"/>
          <w:szCs w:val="24"/>
        </w:rPr>
        <w:t>ões</w:t>
      </w:r>
      <w:r>
        <w:rPr>
          <w:rFonts w:ascii="Times New Roman" w:hAnsi="Times New Roman"/>
          <w:sz w:val="24"/>
          <w:szCs w:val="24"/>
        </w:rPr>
        <w:t xml:space="preserve"> atuam </w:t>
      </w:r>
      <w:r w:rsidR="003231CD">
        <w:rPr>
          <w:rFonts w:ascii="Times New Roman" w:hAnsi="Times New Roman"/>
          <w:sz w:val="24"/>
          <w:szCs w:val="24"/>
        </w:rPr>
        <w:t>como</w:t>
      </w:r>
      <w:r>
        <w:rPr>
          <w:rFonts w:ascii="Times New Roman" w:hAnsi="Times New Roman"/>
          <w:sz w:val="24"/>
          <w:szCs w:val="24"/>
        </w:rPr>
        <w:t xml:space="preserve"> atrativas de mão de obra especializada.</w:t>
      </w:r>
      <w:r w:rsidR="003231CD">
        <w:rPr>
          <w:rFonts w:ascii="Times New Roman" w:hAnsi="Times New Roman"/>
          <w:sz w:val="24"/>
          <w:szCs w:val="24"/>
        </w:rPr>
        <w:t xml:space="preserve"> N</w:t>
      </w:r>
      <w:r w:rsidR="00DA6424">
        <w:rPr>
          <w:rFonts w:ascii="Times New Roman" w:hAnsi="Times New Roman"/>
          <w:sz w:val="24"/>
          <w:szCs w:val="24"/>
        </w:rPr>
        <w:t xml:space="preserve">o mapa </w:t>
      </w:r>
      <w:r w:rsidR="00AC2F97">
        <w:rPr>
          <w:rFonts w:ascii="Times New Roman" w:hAnsi="Times New Roman"/>
          <w:sz w:val="24"/>
          <w:szCs w:val="24"/>
        </w:rPr>
        <w:t>II</w:t>
      </w:r>
      <w:r w:rsidR="00DA6424">
        <w:rPr>
          <w:rFonts w:ascii="Times New Roman" w:hAnsi="Times New Roman"/>
          <w:sz w:val="24"/>
          <w:szCs w:val="24"/>
        </w:rPr>
        <w:t>, o</w:t>
      </w:r>
      <w:r w:rsidR="003231CD">
        <w:rPr>
          <w:rFonts w:ascii="Times New Roman" w:hAnsi="Times New Roman"/>
          <w:sz w:val="24"/>
          <w:szCs w:val="24"/>
        </w:rPr>
        <w:t xml:space="preserve"> grau de variedade relacionada é espalhado de forma homogênea pelas </w:t>
      </w:r>
      <w:proofErr w:type="spellStart"/>
      <w:r w:rsidR="003231CD">
        <w:rPr>
          <w:rFonts w:ascii="Times New Roman" w:hAnsi="Times New Roman"/>
          <w:sz w:val="24"/>
          <w:szCs w:val="24"/>
        </w:rPr>
        <w:t>Regics</w:t>
      </w:r>
      <w:proofErr w:type="spellEnd"/>
      <w:r w:rsidR="003231CD">
        <w:rPr>
          <w:rFonts w:ascii="Times New Roman" w:hAnsi="Times New Roman"/>
          <w:sz w:val="24"/>
          <w:szCs w:val="24"/>
        </w:rPr>
        <w:t xml:space="preserve"> brasileiras</w:t>
      </w:r>
      <w:r w:rsidR="00285B2C">
        <w:rPr>
          <w:rFonts w:ascii="Times New Roman" w:hAnsi="Times New Roman"/>
          <w:sz w:val="24"/>
          <w:szCs w:val="24"/>
        </w:rPr>
        <w:t xml:space="preserve">. </w:t>
      </w:r>
      <w:r w:rsidR="00412399">
        <w:rPr>
          <w:rFonts w:ascii="Times New Roman" w:hAnsi="Times New Roman"/>
          <w:sz w:val="24"/>
          <w:szCs w:val="24"/>
        </w:rPr>
        <w:t>Comparando</w:t>
      </w:r>
      <w:r w:rsidR="00285B2C">
        <w:rPr>
          <w:rFonts w:ascii="Times New Roman" w:hAnsi="Times New Roman"/>
          <w:sz w:val="24"/>
          <w:szCs w:val="24"/>
        </w:rPr>
        <w:t xml:space="preserve"> os mapas </w:t>
      </w:r>
      <w:r w:rsidR="00AC2F97">
        <w:rPr>
          <w:rFonts w:ascii="Times New Roman" w:hAnsi="Times New Roman"/>
          <w:sz w:val="24"/>
          <w:szCs w:val="24"/>
        </w:rPr>
        <w:t>I</w:t>
      </w:r>
      <w:r w:rsidR="00285B2C">
        <w:rPr>
          <w:rFonts w:ascii="Times New Roman" w:hAnsi="Times New Roman"/>
          <w:sz w:val="24"/>
          <w:szCs w:val="24"/>
        </w:rPr>
        <w:t xml:space="preserve"> e </w:t>
      </w:r>
      <w:r w:rsidR="00AC2F97">
        <w:rPr>
          <w:rFonts w:ascii="Times New Roman" w:hAnsi="Times New Roman"/>
          <w:sz w:val="24"/>
          <w:szCs w:val="24"/>
        </w:rPr>
        <w:t>II</w:t>
      </w:r>
      <w:r w:rsidR="00285B2C">
        <w:rPr>
          <w:rFonts w:ascii="Times New Roman" w:hAnsi="Times New Roman"/>
          <w:sz w:val="24"/>
          <w:szCs w:val="24"/>
        </w:rPr>
        <w:t xml:space="preserve"> da </w:t>
      </w:r>
      <w:r w:rsidR="004714CE">
        <w:rPr>
          <w:rFonts w:ascii="Times New Roman" w:hAnsi="Times New Roman"/>
          <w:sz w:val="24"/>
          <w:szCs w:val="24"/>
        </w:rPr>
        <w:t>F</w:t>
      </w:r>
      <w:r w:rsidR="00285B2C">
        <w:rPr>
          <w:rFonts w:ascii="Times New Roman" w:hAnsi="Times New Roman"/>
          <w:sz w:val="24"/>
          <w:szCs w:val="24"/>
        </w:rPr>
        <w:t xml:space="preserve">igura 2 percebe-se que algumas </w:t>
      </w:r>
      <w:proofErr w:type="spellStart"/>
      <w:r w:rsidR="00285B2C">
        <w:rPr>
          <w:rFonts w:ascii="Times New Roman" w:hAnsi="Times New Roman"/>
          <w:sz w:val="24"/>
          <w:szCs w:val="24"/>
        </w:rPr>
        <w:t>Regics</w:t>
      </w:r>
      <w:proofErr w:type="spellEnd"/>
      <w:r w:rsidR="00285B2C">
        <w:rPr>
          <w:rFonts w:ascii="Times New Roman" w:hAnsi="Times New Roman"/>
          <w:sz w:val="24"/>
          <w:szCs w:val="24"/>
        </w:rPr>
        <w:t xml:space="preserve"> apresentam </w:t>
      </w:r>
      <w:r w:rsidR="00412399">
        <w:rPr>
          <w:rFonts w:ascii="Times New Roman" w:hAnsi="Times New Roman"/>
          <w:sz w:val="24"/>
          <w:szCs w:val="24"/>
        </w:rPr>
        <w:t xml:space="preserve">tantos </w:t>
      </w:r>
      <w:r w:rsidR="00285B2C">
        <w:rPr>
          <w:rFonts w:ascii="Times New Roman" w:hAnsi="Times New Roman"/>
          <w:sz w:val="24"/>
          <w:szCs w:val="24"/>
        </w:rPr>
        <w:t xml:space="preserve">elevados graus de especialização e de variedade relacionada, </w:t>
      </w:r>
      <w:r w:rsidR="00412399">
        <w:rPr>
          <w:rFonts w:ascii="Times New Roman" w:hAnsi="Times New Roman"/>
          <w:sz w:val="24"/>
          <w:szCs w:val="24"/>
        </w:rPr>
        <w:t xml:space="preserve">indicando </w:t>
      </w:r>
      <w:r w:rsidR="00DA6424">
        <w:rPr>
          <w:rFonts w:ascii="Times New Roman" w:hAnsi="Times New Roman"/>
          <w:sz w:val="24"/>
          <w:szCs w:val="24"/>
        </w:rPr>
        <w:t xml:space="preserve">que essas regiões atraem indivíduos para atuar nos mesmos setores a quatro dígitos ou mesmos setores a dois dígitos. No mapa </w:t>
      </w:r>
      <w:r w:rsidR="00AC2F97">
        <w:rPr>
          <w:rFonts w:ascii="Times New Roman" w:hAnsi="Times New Roman"/>
          <w:sz w:val="24"/>
          <w:szCs w:val="24"/>
        </w:rPr>
        <w:t>III</w:t>
      </w:r>
      <w:r w:rsidR="00DA6424">
        <w:rPr>
          <w:rFonts w:ascii="Times New Roman" w:hAnsi="Times New Roman"/>
          <w:sz w:val="24"/>
          <w:szCs w:val="24"/>
        </w:rPr>
        <w:t xml:space="preserve">, o </w:t>
      </w:r>
      <w:r w:rsidR="00B66446">
        <w:rPr>
          <w:rFonts w:ascii="Times New Roman" w:hAnsi="Times New Roman"/>
          <w:sz w:val="24"/>
          <w:szCs w:val="24"/>
        </w:rPr>
        <w:t xml:space="preserve">grau de variedade não relacionada possui o padrão </w:t>
      </w:r>
      <w:r w:rsidR="00400A31">
        <w:rPr>
          <w:rFonts w:ascii="Times New Roman" w:hAnsi="Times New Roman"/>
          <w:sz w:val="24"/>
          <w:szCs w:val="24"/>
        </w:rPr>
        <w:t>menos concentrado</w:t>
      </w:r>
      <w:r w:rsidR="00B66446">
        <w:rPr>
          <w:rFonts w:ascii="Times New Roman" w:hAnsi="Times New Roman"/>
          <w:sz w:val="24"/>
          <w:szCs w:val="24"/>
        </w:rPr>
        <w:t xml:space="preserve"> das externalidad</w:t>
      </w:r>
      <w:r w:rsidR="00400A31">
        <w:rPr>
          <w:rFonts w:ascii="Times New Roman" w:hAnsi="Times New Roman"/>
          <w:sz w:val="24"/>
          <w:szCs w:val="24"/>
        </w:rPr>
        <w:t>es de trabalho inter-regionais, não se concentrando em uma região específica.</w:t>
      </w:r>
    </w:p>
    <w:p w14:paraId="754F932B" w14:textId="77777777" w:rsidR="00C01E4C" w:rsidRDefault="00400A31" w:rsidP="00C01E4C">
      <w:pPr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Ao se comparar as </w:t>
      </w:r>
      <w:r w:rsidR="004714CE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iguras 1 e 2, pode-se afirmar que ao se levar em conta a mobilidade intrarregional, a especialização é a mais intensa das externalidades de trabalho indicando que os indivíduos tendem a se manter atuando nos mesmos setores a quatro dígitos.</w:t>
      </w:r>
      <w:r w:rsidR="0071285D">
        <w:rPr>
          <w:rFonts w:ascii="Times New Roman" w:hAnsi="Times New Roman"/>
          <w:sz w:val="24"/>
          <w:szCs w:val="24"/>
        </w:rPr>
        <w:t xml:space="preserve"> Já nos fluxos de mobilidade inter-regional, variedade relacionada e variedade não relacionada são mais intensa, ou seja, indivíduos ao mudar de região tendem tamb</w:t>
      </w:r>
      <w:r w:rsidR="00595701">
        <w:rPr>
          <w:rFonts w:ascii="Times New Roman" w:hAnsi="Times New Roman"/>
          <w:sz w:val="24"/>
          <w:szCs w:val="24"/>
        </w:rPr>
        <w:t>ém a mudar o setor a quatro dígitos que atuavam.</w:t>
      </w:r>
      <w:r w:rsidR="00C01E4C">
        <w:rPr>
          <w:rFonts w:ascii="Times New Roman" w:hAnsi="Times New Roman"/>
          <w:sz w:val="24"/>
          <w:szCs w:val="24"/>
        </w:rPr>
        <w:t xml:space="preserve"> </w:t>
      </w:r>
    </w:p>
    <w:p w14:paraId="5D59F915" w14:textId="77777777" w:rsidR="00C01E4C" w:rsidRDefault="00C01E4C" w:rsidP="00C01E4C">
      <w:pPr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14:paraId="151BE2B8" w14:textId="08CDE1BE" w:rsidR="00401611" w:rsidRPr="0099605B" w:rsidRDefault="00C22EED" w:rsidP="00C01E4C">
      <w:pPr>
        <w:spacing w:line="240" w:lineRule="auto"/>
        <w:ind w:firstLine="696"/>
        <w:jc w:val="both"/>
        <w:rPr>
          <w:rFonts w:ascii="Times New Roman" w:hAnsi="Times New Roman"/>
          <w:b/>
          <w:sz w:val="24"/>
          <w:szCs w:val="24"/>
        </w:rPr>
      </w:pPr>
      <w:r w:rsidRPr="0099605B">
        <w:rPr>
          <w:rFonts w:ascii="Times New Roman" w:hAnsi="Times New Roman"/>
          <w:b/>
          <w:sz w:val="24"/>
          <w:szCs w:val="24"/>
        </w:rPr>
        <w:t>RESULTADOS ECONOMÉTRICOS</w:t>
      </w:r>
    </w:p>
    <w:p w14:paraId="69D575E6" w14:textId="77777777" w:rsidR="00401611" w:rsidRPr="00F36729" w:rsidRDefault="003560E0" w:rsidP="008A26E4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36729">
        <w:rPr>
          <w:rFonts w:ascii="Times New Roman" w:eastAsia="Times New Roman" w:hAnsi="Times New Roman"/>
          <w:sz w:val="24"/>
          <w:szCs w:val="24"/>
        </w:rPr>
        <w:t xml:space="preserve">Foram estimados </w:t>
      </w:r>
      <w:r w:rsidR="0099605B" w:rsidRPr="00F36729">
        <w:rPr>
          <w:rFonts w:ascii="Times New Roman" w:eastAsia="Times New Roman" w:hAnsi="Times New Roman"/>
          <w:sz w:val="24"/>
          <w:szCs w:val="24"/>
        </w:rPr>
        <w:t>cinco</w:t>
      </w:r>
      <w:r w:rsidRPr="00F36729">
        <w:rPr>
          <w:rFonts w:ascii="Times New Roman" w:eastAsia="Times New Roman" w:hAnsi="Times New Roman"/>
          <w:sz w:val="24"/>
          <w:szCs w:val="24"/>
        </w:rPr>
        <w:t xml:space="preserve"> modelos </w:t>
      </w:r>
      <w:r w:rsidR="00A859E4" w:rsidRPr="00F36729">
        <w:rPr>
          <w:rFonts w:ascii="Times New Roman" w:eastAsia="Times New Roman" w:hAnsi="Times New Roman"/>
          <w:sz w:val="24"/>
          <w:szCs w:val="24"/>
        </w:rPr>
        <w:t>utiliz</w:t>
      </w:r>
      <w:r w:rsidR="0099605B" w:rsidRPr="00F36729">
        <w:rPr>
          <w:rFonts w:ascii="Times New Roman" w:eastAsia="Times New Roman" w:hAnsi="Times New Roman"/>
          <w:sz w:val="24"/>
          <w:szCs w:val="24"/>
        </w:rPr>
        <w:t>ando o</w:t>
      </w:r>
      <w:r w:rsidR="00D628C3" w:rsidRPr="00F36729">
        <w:rPr>
          <w:rFonts w:ascii="Times New Roman" w:eastAsia="Times New Roman" w:hAnsi="Times New Roman"/>
          <w:sz w:val="24"/>
          <w:szCs w:val="24"/>
        </w:rPr>
        <w:t xml:space="preserve"> </w:t>
      </w:r>
      <w:r w:rsidR="0099605B" w:rsidRPr="00F36729">
        <w:rPr>
          <w:rFonts w:ascii="Times New Roman" w:eastAsia="Times New Roman" w:hAnsi="Times New Roman"/>
          <w:sz w:val="24"/>
          <w:szCs w:val="24"/>
        </w:rPr>
        <w:t>método GMM</w:t>
      </w:r>
      <w:r w:rsidR="00165F26" w:rsidRPr="00F36729">
        <w:rPr>
          <w:rFonts w:ascii="Times New Roman" w:eastAsia="Times New Roman" w:hAnsi="Times New Roman"/>
          <w:sz w:val="24"/>
          <w:szCs w:val="24"/>
        </w:rPr>
        <w:t>.</w:t>
      </w:r>
      <w:r w:rsidR="00C00013">
        <w:rPr>
          <w:rStyle w:val="Refdenotaderodap"/>
          <w:rFonts w:ascii="Times New Roman" w:eastAsia="Times New Roman" w:hAnsi="Times New Roman"/>
          <w:sz w:val="24"/>
          <w:szCs w:val="24"/>
        </w:rPr>
        <w:footnoteReference w:id="5"/>
      </w:r>
    </w:p>
    <w:p w14:paraId="3D18D637" w14:textId="65CEC88F" w:rsidR="003560E0" w:rsidRPr="003560E0" w:rsidRDefault="003560E0" w:rsidP="008A26E4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60E0">
        <w:rPr>
          <w:rFonts w:ascii="Times New Roman" w:hAnsi="Times New Roman"/>
          <w:sz w:val="24"/>
          <w:szCs w:val="24"/>
        </w:rPr>
        <w:t xml:space="preserve">Modelo I: </w:t>
      </w:r>
      <w:r w:rsidR="00A859E4">
        <w:rPr>
          <w:rFonts w:ascii="Times New Roman" w:hAnsi="Times New Roman"/>
          <w:sz w:val="24"/>
          <w:szCs w:val="24"/>
        </w:rPr>
        <w:t xml:space="preserve">modelo base apenas </w:t>
      </w:r>
      <w:r w:rsidR="0060752E">
        <w:rPr>
          <w:rFonts w:ascii="Times New Roman" w:hAnsi="Times New Roman"/>
          <w:sz w:val="24"/>
          <w:szCs w:val="24"/>
        </w:rPr>
        <w:t xml:space="preserve">com </w:t>
      </w:r>
      <w:r w:rsidR="00A859E4">
        <w:rPr>
          <w:rFonts w:ascii="Times New Roman" w:hAnsi="Times New Roman"/>
          <w:sz w:val="24"/>
          <w:szCs w:val="24"/>
        </w:rPr>
        <w:t>as variáveis de controle</w:t>
      </w:r>
      <w:r w:rsidRPr="003560E0">
        <w:rPr>
          <w:rFonts w:ascii="Times New Roman" w:hAnsi="Times New Roman"/>
          <w:sz w:val="24"/>
          <w:szCs w:val="24"/>
        </w:rPr>
        <w:t>;</w:t>
      </w:r>
    </w:p>
    <w:p w14:paraId="7CDED7C4" w14:textId="77777777" w:rsidR="003560E0" w:rsidRPr="003560E0" w:rsidRDefault="003560E0" w:rsidP="008A26E4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60E0">
        <w:rPr>
          <w:rFonts w:ascii="Times New Roman" w:hAnsi="Times New Roman"/>
          <w:sz w:val="24"/>
          <w:szCs w:val="24"/>
        </w:rPr>
        <w:t xml:space="preserve">Modelo II: </w:t>
      </w:r>
      <w:r w:rsidR="0083760C">
        <w:rPr>
          <w:rFonts w:ascii="Times New Roman" w:hAnsi="Times New Roman"/>
          <w:sz w:val="24"/>
          <w:szCs w:val="24"/>
        </w:rPr>
        <w:t>modelo explicado pela mobilidade inter-regional</w:t>
      </w:r>
      <w:r w:rsidRPr="003560E0">
        <w:rPr>
          <w:rFonts w:ascii="Times New Roman" w:hAnsi="Times New Roman"/>
          <w:sz w:val="24"/>
          <w:szCs w:val="24"/>
        </w:rPr>
        <w:t>;</w:t>
      </w:r>
    </w:p>
    <w:p w14:paraId="0C08679A" w14:textId="77777777" w:rsidR="003560E0" w:rsidRDefault="003560E0" w:rsidP="008A26E4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60E0">
        <w:rPr>
          <w:rFonts w:ascii="Times New Roman" w:hAnsi="Times New Roman"/>
          <w:sz w:val="24"/>
          <w:szCs w:val="24"/>
        </w:rPr>
        <w:t xml:space="preserve">Modelo III: </w:t>
      </w:r>
      <w:r w:rsidR="0083760C">
        <w:rPr>
          <w:rFonts w:ascii="Times New Roman" w:hAnsi="Times New Roman"/>
          <w:sz w:val="24"/>
          <w:szCs w:val="24"/>
        </w:rPr>
        <w:t>modelo explicado pela mobilidade intrarregional</w:t>
      </w:r>
      <w:r w:rsidRPr="003560E0">
        <w:rPr>
          <w:rFonts w:ascii="Times New Roman" w:hAnsi="Times New Roman"/>
          <w:sz w:val="24"/>
          <w:szCs w:val="24"/>
        </w:rPr>
        <w:t>;</w:t>
      </w:r>
    </w:p>
    <w:p w14:paraId="397B39EA" w14:textId="77777777" w:rsidR="007A4127" w:rsidRDefault="007A4127" w:rsidP="008A26E4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Modelo IV: modelo explicado pela mobilidade inter-regional e mobilidade intrarregional;</w:t>
      </w:r>
    </w:p>
    <w:p w14:paraId="47699DF9" w14:textId="77777777" w:rsidR="003560E0" w:rsidRDefault="003560E0" w:rsidP="008A26E4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60E0">
        <w:rPr>
          <w:rFonts w:ascii="Times New Roman" w:hAnsi="Times New Roman"/>
          <w:sz w:val="24"/>
          <w:szCs w:val="24"/>
        </w:rPr>
        <w:t xml:space="preserve">Modelo </w:t>
      </w:r>
      <w:r w:rsidR="006A6114">
        <w:rPr>
          <w:rFonts w:ascii="Times New Roman" w:hAnsi="Times New Roman"/>
          <w:sz w:val="24"/>
          <w:szCs w:val="24"/>
        </w:rPr>
        <w:t>V</w:t>
      </w:r>
      <w:r w:rsidRPr="003560E0">
        <w:rPr>
          <w:rFonts w:ascii="Times New Roman" w:hAnsi="Times New Roman"/>
          <w:sz w:val="24"/>
          <w:szCs w:val="24"/>
        </w:rPr>
        <w:t xml:space="preserve">: </w:t>
      </w:r>
      <w:r w:rsidR="0083760C">
        <w:rPr>
          <w:rFonts w:ascii="Times New Roman" w:hAnsi="Times New Roman"/>
          <w:sz w:val="24"/>
          <w:szCs w:val="24"/>
        </w:rPr>
        <w:t xml:space="preserve">modelo explicado pela mobilidade </w:t>
      </w:r>
      <w:r w:rsidR="0097302A">
        <w:rPr>
          <w:rFonts w:ascii="Times New Roman" w:hAnsi="Times New Roman"/>
          <w:sz w:val="24"/>
          <w:szCs w:val="24"/>
        </w:rPr>
        <w:t>inter</w:t>
      </w:r>
      <w:r w:rsidR="00974E0C">
        <w:rPr>
          <w:rFonts w:ascii="Times New Roman" w:hAnsi="Times New Roman"/>
          <w:sz w:val="24"/>
          <w:szCs w:val="24"/>
        </w:rPr>
        <w:t>firma</w:t>
      </w:r>
      <w:r w:rsidRPr="003560E0">
        <w:rPr>
          <w:rFonts w:ascii="Times New Roman" w:hAnsi="Times New Roman"/>
          <w:sz w:val="24"/>
          <w:szCs w:val="24"/>
        </w:rPr>
        <w:t>;</w:t>
      </w:r>
    </w:p>
    <w:p w14:paraId="1B5D71A2" w14:textId="77777777" w:rsidR="008F22D6" w:rsidRDefault="005710DA" w:rsidP="008F22D6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36729">
        <w:rPr>
          <w:rFonts w:ascii="Times New Roman" w:eastAsia="Times New Roman" w:hAnsi="Times New Roman"/>
          <w:sz w:val="24"/>
          <w:szCs w:val="24"/>
        </w:rPr>
        <w:t xml:space="preserve">A tabela </w:t>
      </w:r>
      <w:r w:rsidR="00F36729" w:rsidRPr="00F36729">
        <w:rPr>
          <w:rFonts w:ascii="Times New Roman" w:eastAsia="Times New Roman" w:hAnsi="Times New Roman"/>
          <w:sz w:val="24"/>
          <w:szCs w:val="24"/>
        </w:rPr>
        <w:t>1</w:t>
      </w:r>
      <w:r w:rsidRPr="00F36729">
        <w:rPr>
          <w:rFonts w:ascii="Times New Roman" w:eastAsia="Times New Roman" w:hAnsi="Times New Roman"/>
          <w:sz w:val="24"/>
          <w:szCs w:val="24"/>
        </w:rPr>
        <w:t xml:space="preserve"> apresenta os resultados das estimações dos modelos </w:t>
      </w:r>
      <w:r w:rsidR="0060752E">
        <w:rPr>
          <w:rFonts w:ascii="Times New Roman" w:eastAsia="Times New Roman" w:hAnsi="Times New Roman"/>
          <w:sz w:val="24"/>
          <w:szCs w:val="24"/>
        </w:rPr>
        <w:t xml:space="preserve">tendo como </w:t>
      </w:r>
      <w:r w:rsidR="0060752E" w:rsidRPr="00F36729">
        <w:rPr>
          <w:rFonts w:ascii="Times New Roman" w:eastAsia="Times New Roman" w:hAnsi="Times New Roman"/>
          <w:sz w:val="24"/>
          <w:szCs w:val="24"/>
        </w:rPr>
        <w:t xml:space="preserve">variável dependente </w:t>
      </w:r>
      <w:r w:rsidR="0060752E">
        <w:rPr>
          <w:rFonts w:ascii="Times New Roman" w:eastAsia="Times New Roman" w:hAnsi="Times New Roman"/>
          <w:sz w:val="24"/>
          <w:szCs w:val="24"/>
        </w:rPr>
        <w:t xml:space="preserve">a </w:t>
      </w:r>
      <w:r w:rsidRPr="00F36729">
        <w:rPr>
          <w:rFonts w:ascii="Times New Roman" w:eastAsia="Times New Roman" w:hAnsi="Times New Roman"/>
          <w:sz w:val="24"/>
          <w:szCs w:val="24"/>
        </w:rPr>
        <w:t xml:space="preserve">taxa de crescimento anual </w:t>
      </w:r>
      <w:r w:rsidR="000B7F8C" w:rsidRPr="00F36729">
        <w:rPr>
          <w:rFonts w:ascii="Times New Roman" w:eastAsia="Times New Roman" w:hAnsi="Times New Roman"/>
          <w:sz w:val="24"/>
          <w:szCs w:val="24"/>
        </w:rPr>
        <w:t>d</w:t>
      </w:r>
      <w:r w:rsidR="00C92584" w:rsidRPr="00F36729">
        <w:rPr>
          <w:rFonts w:ascii="Times New Roman" w:eastAsia="Times New Roman" w:hAnsi="Times New Roman"/>
          <w:sz w:val="24"/>
          <w:szCs w:val="24"/>
        </w:rPr>
        <w:t xml:space="preserve">a </w:t>
      </w:r>
      <w:r w:rsidR="00F36729" w:rsidRPr="00F36729">
        <w:rPr>
          <w:rFonts w:ascii="Times New Roman" w:eastAsia="Times New Roman" w:hAnsi="Times New Roman"/>
          <w:sz w:val="24"/>
          <w:szCs w:val="24"/>
        </w:rPr>
        <w:t xml:space="preserve">remuneração </w:t>
      </w:r>
      <w:r w:rsidR="00FA5DDE" w:rsidRPr="00F36729">
        <w:rPr>
          <w:rFonts w:ascii="Times New Roman" w:eastAsia="Times New Roman" w:hAnsi="Times New Roman"/>
          <w:sz w:val="24"/>
          <w:szCs w:val="24"/>
        </w:rPr>
        <w:t>m</w:t>
      </w:r>
      <w:r w:rsidR="00FA5DDE">
        <w:rPr>
          <w:rFonts w:ascii="Times New Roman" w:eastAsia="Times New Roman" w:hAnsi="Times New Roman"/>
          <w:sz w:val="24"/>
          <w:szCs w:val="24"/>
        </w:rPr>
        <w:t>é</w:t>
      </w:r>
      <w:r w:rsidR="00FA5DDE" w:rsidRPr="00F36729">
        <w:rPr>
          <w:rFonts w:ascii="Times New Roman" w:eastAsia="Times New Roman" w:hAnsi="Times New Roman"/>
          <w:sz w:val="24"/>
          <w:szCs w:val="24"/>
        </w:rPr>
        <w:t>dia</w:t>
      </w:r>
      <w:r w:rsidR="00C92584" w:rsidRPr="00F36729">
        <w:rPr>
          <w:rFonts w:ascii="Times New Roman" w:eastAsia="Times New Roman" w:hAnsi="Times New Roman"/>
          <w:sz w:val="24"/>
          <w:szCs w:val="24"/>
        </w:rPr>
        <w:t xml:space="preserve"> regional de</w:t>
      </w:r>
      <w:r w:rsidR="000B7F8C" w:rsidRPr="00F36729">
        <w:rPr>
          <w:rFonts w:ascii="Times New Roman" w:eastAsia="Times New Roman" w:hAnsi="Times New Roman"/>
          <w:sz w:val="24"/>
          <w:szCs w:val="24"/>
        </w:rPr>
        <w:t xml:space="preserve"> trabalho</w:t>
      </w:r>
      <w:r w:rsidRPr="00F36729">
        <w:rPr>
          <w:rFonts w:ascii="Times New Roman" w:eastAsia="Times New Roman" w:hAnsi="Times New Roman"/>
          <w:sz w:val="24"/>
          <w:szCs w:val="24"/>
        </w:rPr>
        <w:t>.</w:t>
      </w:r>
      <w:r w:rsidR="00A0399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A081E47" w14:textId="716E798F" w:rsidR="004714CE" w:rsidRDefault="004714CE" w:rsidP="008F22D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testes AR (1) e AR (2), os quais verificam a autocorrelação dos termos de erro para todos os modelos GMM, indicam que as defasagens das variáveis são exógenas, sendo assim bons instrumentos. O teste de Sargan</w:t>
      </w:r>
      <w:r w:rsidR="008518FC">
        <w:rPr>
          <w:rFonts w:ascii="Times New Roman" w:hAnsi="Times New Roman"/>
          <w:sz w:val="24"/>
          <w:szCs w:val="24"/>
        </w:rPr>
        <w:t>, por seu turno,</w:t>
      </w:r>
      <w:r>
        <w:rPr>
          <w:rFonts w:ascii="Times New Roman" w:hAnsi="Times New Roman"/>
          <w:sz w:val="24"/>
          <w:szCs w:val="24"/>
        </w:rPr>
        <w:t xml:space="preserve"> indica que os instrumentos são exógenos como um grupo. </w:t>
      </w:r>
      <w:r w:rsidR="008518FC">
        <w:rPr>
          <w:rFonts w:ascii="Times New Roman" w:hAnsi="Times New Roman"/>
          <w:sz w:val="24"/>
          <w:szCs w:val="24"/>
        </w:rPr>
        <w:t>Ademais, como o número</w:t>
      </w:r>
      <w:r>
        <w:rPr>
          <w:rFonts w:ascii="Times New Roman" w:hAnsi="Times New Roman"/>
          <w:sz w:val="24"/>
          <w:szCs w:val="24"/>
        </w:rPr>
        <w:t xml:space="preserve"> de instrumentos não ultrapassa o número de grupos</w:t>
      </w:r>
      <w:r w:rsidR="008518F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os modelos GMM passam nos testes de diagnóstico, podendo ser utilizados para minimizar a endogeneidade.</w:t>
      </w:r>
    </w:p>
    <w:p w14:paraId="147E6189" w14:textId="77777777" w:rsidR="004714CE" w:rsidRDefault="004714CE" w:rsidP="004714C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Dessa forma, pelos resultados da Tabela 1, destaca-se que apenas os modelos que levam em conta a mobilidade intrarregional apresentaram resultados significativos. No modelo III, o grau de especialização apresentou sinal positivo, indicando que a mobilidade intrarregional de indivíduos qualificados atuando no mesmo setor a quatro dígitos impacta positivamente na taxa de crescimento da remuneração. Uma possível explicação é a ocorrência de inovações incrementais que por sua vez acabam aumentando a produtividade dos trabalhadores. O grau de especialização pode ser considerado um indicador de externalidades </w:t>
      </w:r>
      <w:proofErr w:type="spellStart"/>
      <w:r>
        <w:rPr>
          <w:rFonts w:ascii="Times New Roman" w:hAnsi="Times New Roman"/>
          <w:sz w:val="24"/>
          <w:szCs w:val="24"/>
        </w:rPr>
        <w:t>marshalianas</w:t>
      </w:r>
      <w:proofErr w:type="spellEnd"/>
      <w:r>
        <w:rPr>
          <w:rFonts w:ascii="Times New Roman" w:hAnsi="Times New Roman"/>
          <w:sz w:val="24"/>
          <w:szCs w:val="24"/>
        </w:rPr>
        <w:t xml:space="preserve">, pois seu sinal positivo e significante indica que a formação de mercados de trabalhos regionais com indivíduos atuando nos mesmos setores promove o crescimento regional. Os resultados do modelo IV confirmam os resultados do modelo III, indicando que o grau de especialização intrarregional é um impulsionador do crescimento regional. </w:t>
      </w:r>
    </w:p>
    <w:p w14:paraId="4F709325" w14:textId="363A5B6F" w:rsidR="004714CE" w:rsidRDefault="004714CE" w:rsidP="004714C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 dos diferenciais desse trabalho é </w:t>
      </w:r>
      <w:r w:rsidR="008518F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divisão entre os fluxos de mobilidade. Ao se comparar os resultados dos modelos de mobilidade inter-regional e intrarregional, é possível afirmar que a especialização somente apresenta um impacto significativo quando os indivíduos são da mesma </w:t>
      </w:r>
      <w:proofErr w:type="spellStart"/>
      <w:r>
        <w:rPr>
          <w:rFonts w:ascii="Times New Roman" w:hAnsi="Times New Roman"/>
          <w:sz w:val="24"/>
          <w:szCs w:val="24"/>
        </w:rPr>
        <w:t>Regic</w:t>
      </w:r>
      <w:proofErr w:type="spellEnd"/>
      <w:r>
        <w:rPr>
          <w:rFonts w:ascii="Times New Roman" w:hAnsi="Times New Roman"/>
          <w:sz w:val="24"/>
          <w:szCs w:val="24"/>
        </w:rPr>
        <w:t xml:space="preserve">. Uma possível explicação seria que, mesmo atuando nos mesmos setores, a transmissão de conhecimento seria dificultada devido às especificidades regionais. Outra afirmação que pode ser feita é que a mobilidade </w:t>
      </w:r>
      <w:r>
        <w:rPr>
          <w:rFonts w:ascii="Times New Roman" w:hAnsi="Times New Roman"/>
          <w:sz w:val="24"/>
          <w:szCs w:val="24"/>
        </w:rPr>
        <w:lastRenderedPageBreak/>
        <w:t>intrarregional cria regiões especializadas que por sua vez impulsionam o crescimento regional.</w:t>
      </w:r>
    </w:p>
    <w:p w14:paraId="1E1459C2" w14:textId="0098B78E" w:rsidR="00834728" w:rsidRDefault="004714CE" w:rsidP="008347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nenhum dos modelos, os graus de variedade relacionada e variedade não relacionada apresentaram resultados significativos, diferente de outros trabalhos (FRENKEN </w:t>
      </w:r>
      <w:r>
        <w:rPr>
          <w:rFonts w:ascii="Times New Roman" w:hAnsi="Times New Roman"/>
          <w:i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 xml:space="preserve">., 2007; BOSCHMA </w:t>
      </w:r>
      <w:r>
        <w:rPr>
          <w:rFonts w:ascii="Times New Roman" w:hAnsi="Times New Roman"/>
          <w:i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>., 2014). Isso é um indicativo que existe uma grande distância cognitiva entre os setores industriais brasileiros</w:t>
      </w:r>
      <w:r w:rsidR="008518FC">
        <w:rPr>
          <w:rFonts w:ascii="Times New Roman" w:hAnsi="Times New Roman"/>
          <w:sz w:val="24"/>
          <w:szCs w:val="24"/>
        </w:rPr>
        <w:t>, onde</w:t>
      </w:r>
      <w:r w:rsidR="008F22D6">
        <w:rPr>
          <w:rFonts w:ascii="Times New Roman" w:hAnsi="Times New Roman"/>
          <w:sz w:val="24"/>
          <w:szCs w:val="24"/>
        </w:rPr>
        <w:t xml:space="preserve"> </w:t>
      </w:r>
      <w:r w:rsidR="008518FC">
        <w:rPr>
          <w:rFonts w:ascii="Times New Roman" w:hAnsi="Times New Roman"/>
          <w:sz w:val="24"/>
          <w:szCs w:val="24"/>
        </w:rPr>
        <w:t>m</w:t>
      </w:r>
      <w:r w:rsidR="008F22D6">
        <w:rPr>
          <w:rFonts w:ascii="Times New Roman" w:hAnsi="Times New Roman"/>
          <w:sz w:val="24"/>
          <w:szCs w:val="24"/>
        </w:rPr>
        <w:t xml:space="preserve">esmo </w:t>
      </w:r>
      <w:r>
        <w:rPr>
          <w:rFonts w:ascii="Times New Roman" w:hAnsi="Times New Roman"/>
          <w:sz w:val="24"/>
          <w:szCs w:val="24"/>
        </w:rPr>
        <w:t>a migração intrarregional de indivíduos atuando em mesmo setores a dois dígitos</w:t>
      </w:r>
      <w:r w:rsidR="008518FC">
        <w:rPr>
          <w:rFonts w:ascii="Times New Roman" w:hAnsi="Times New Roman"/>
          <w:sz w:val="24"/>
          <w:szCs w:val="24"/>
        </w:rPr>
        <w:t>, esta</w:t>
      </w:r>
      <w:r>
        <w:rPr>
          <w:rFonts w:ascii="Times New Roman" w:hAnsi="Times New Roman"/>
          <w:sz w:val="24"/>
          <w:szCs w:val="24"/>
        </w:rPr>
        <w:t xml:space="preserve"> não apresentou impacto no crescimento regional</w:t>
      </w:r>
      <w:r w:rsidR="008518FC">
        <w:rPr>
          <w:rFonts w:ascii="Times New Roman" w:hAnsi="Times New Roman"/>
          <w:sz w:val="24"/>
          <w:szCs w:val="24"/>
        </w:rPr>
        <w:t>. As firmas industriais brasileiras parecem ser impactadas apenas por</w:t>
      </w:r>
      <w:r>
        <w:rPr>
          <w:rFonts w:ascii="Times New Roman" w:hAnsi="Times New Roman"/>
          <w:sz w:val="24"/>
          <w:szCs w:val="24"/>
        </w:rPr>
        <w:t xml:space="preserve"> indivíduo</w:t>
      </w:r>
      <w:r w:rsidR="008518F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8518FC">
        <w:rPr>
          <w:rFonts w:ascii="Times New Roman" w:hAnsi="Times New Roman"/>
          <w:sz w:val="24"/>
          <w:szCs w:val="24"/>
        </w:rPr>
        <w:t xml:space="preserve">que </w:t>
      </w:r>
      <w:r>
        <w:rPr>
          <w:rFonts w:ascii="Times New Roman" w:hAnsi="Times New Roman"/>
          <w:sz w:val="24"/>
          <w:szCs w:val="24"/>
        </w:rPr>
        <w:t>atua</w:t>
      </w:r>
      <w:r w:rsidR="008518F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no mesmo setor</w:t>
      </w:r>
      <w:r w:rsidR="008518FC">
        <w:rPr>
          <w:rFonts w:ascii="Times New Roman" w:hAnsi="Times New Roman"/>
          <w:sz w:val="24"/>
          <w:szCs w:val="24"/>
        </w:rPr>
        <w:t xml:space="preserve"> a quatro dígitos</w:t>
      </w:r>
      <w:r>
        <w:rPr>
          <w:rFonts w:ascii="Times New Roman" w:hAnsi="Times New Roman"/>
          <w:sz w:val="24"/>
          <w:szCs w:val="24"/>
        </w:rPr>
        <w:t xml:space="preserve">, </w:t>
      </w:r>
      <w:r w:rsidR="008518FC">
        <w:rPr>
          <w:rFonts w:ascii="Times New Roman" w:hAnsi="Times New Roman"/>
          <w:sz w:val="24"/>
          <w:szCs w:val="24"/>
        </w:rPr>
        <w:t>que indica uma falta de capacidade de absorção de conhecimento diferente do que produzem</w:t>
      </w:r>
      <w:r>
        <w:rPr>
          <w:rFonts w:ascii="Times New Roman" w:hAnsi="Times New Roman"/>
          <w:sz w:val="24"/>
          <w:szCs w:val="24"/>
        </w:rPr>
        <w:t>. Desse modo, é possível afirmar que, no caso empírico brasileiro de mobilidade de trabalhadores qualificados em setores industriais, apenas a similaridade de conhecimento possui um impacto positivo no crescimento da taxa de remuneração média.</w:t>
      </w:r>
    </w:p>
    <w:p w14:paraId="5B9CA0C0" w14:textId="41671897" w:rsidR="00834728" w:rsidRDefault="00834728" w:rsidP="008347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diferentes resultados dos impactos das externalidade</w:t>
      </w:r>
      <w:r w:rsidR="008518F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de trabalho no crescimento é um reflexo do grau de desenvolvimento brasileiro. Os resultados dos modelos de mobilidade inter-regionais indicaram que o espraiamento de conhecimento no Brasil encontra dificuldades de acontecer entre regiões para qualquer tipo de conhecimento analisado</w:t>
      </w:r>
      <w:r w:rsidR="008518FC">
        <w:rPr>
          <w:rFonts w:ascii="Times New Roman" w:hAnsi="Times New Roman"/>
          <w:sz w:val="24"/>
          <w:szCs w:val="24"/>
        </w:rPr>
        <w:t>,</w:t>
      </w:r>
      <w:r w:rsidR="008F22D6">
        <w:rPr>
          <w:rFonts w:ascii="Times New Roman" w:hAnsi="Times New Roman"/>
          <w:sz w:val="24"/>
          <w:szCs w:val="24"/>
        </w:rPr>
        <w:t xml:space="preserve"> </w:t>
      </w:r>
      <w:r w:rsidR="008518FC">
        <w:rPr>
          <w:rFonts w:ascii="Times New Roman" w:hAnsi="Times New Roman"/>
          <w:sz w:val="24"/>
          <w:szCs w:val="24"/>
        </w:rPr>
        <w:t>i</w:t>
      </w:r>
      <w:r w:rsidR="008F22D6">
        <w:rPr>
          <w:rFonts w:ascii="Times New Roman" w:hAnsi="Times New Roman"/>
          <w:sz w:val="24"/>
          <w:szCs w:val="24"/>
        </w:rPr>
        <w:t xml:space="preserve">sso </w:t>
      </w:r>
      <w:r>
        <w:rPr>
          <w:rFonts w:ascii="Times New Roman" w:hAnsi="Times New Roman"/>
          <w:sz w:val="24"/>
          <w:szCs w:val="24"/>
        </w:rPr>
        <w:t>pode ser resultado de uma grande distância tecnológica entre as regiões</w:t>
      </w:r>
      <w:r w:rsidR="008F22D6">
        <w:rPr>
          <w:rFonts w:ascii="Times New Roman" w:hAnsi="Times New Roman"/>
          <w:sz w:val="24"/>
          <w:szCs w:val="24"/>
        </w:rPr>
        <w:t>, o</w:t>
      </w:r>
      <w:r>
        <w:rPr>
          <w:rFonts w:ascii="Times New Roman" w:hAnsi="Times New Roman"/>
          <w:sz w:val="24"/>
          <w:szCs w:val="24"/>
        </w:rPr>
        <w:t xml:space="preserve"> que impossibilita a absorção eficaz de conhecimento advindo de migrações inter-regionais.</w:t>
      </w:r>
    </w:p>
    <w:p w14:paraId="22CFDE76" w14:textId="190D3122" w:rsidR="00834728" w:rsidRDefault="00834728" w:rsidP="008347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baixo investimento em P&amp;D das firmas pode ser uma explicação da dificuldade de absorção de conhecimento</w:t>
      </w:r>
      <w:r w:rsidR="008F22D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de modo que as firmas não são capazes de aproveitar o conhecimento adquirido por meio da mobilidade de indivíduos. Como explicado anteriormente, caso a distância cognitiva entre </w:t>
      </w:r>
      <w:r w:rsidR="008518FC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indivíduo qualificado e a firma de </w:t>
      </w:r>
      <w:r w:rsidR="008518FC">
        <w:rPr>
          <w:rFonts w:ascii="Times New Roman" w:hAnsi="Times New Roman"/>
          <w:sz w:val="24"/>
          <w:szCs w:val="24"/>
        </w:rPr>
        <w:t xml:space="preserve">destino </w:t>
      </w:r>
      <w:r>
        <w:rPr>
          <w:rFonts w:ascii="Times New Roman" w:hAnsi="Times New Roman"/>
          <w:sz w:val="24"/>
          <w:szCs w:val="24"/>
        </w:rPr>
        <w:t>seja muito grande, o conhecimento adquirido não é assimilado. Os resultados indicam que apenas conhecimentos similares são impulsionadores de crescimento, isso reflete que as firmas brasileiras não são capazes de absorver outros tipos de conhecimentos.</w:t>
      </w:r>
    </w:p>
    <w:p w14:paraId="1B96203F" w14:textId="77777777" w:rsidR="00834728" w:rsidRDefault="00834728" w:rsidP="008347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 controles utilizados, apenas a mobilidade líquida não apresentou significância em todos os modelos. Os sinais positivos do capital humano e da taxa de mobilidade indicam que a presença de indivíduos qualificados impacta de forma positiva na produtividade do trabalho, medida por salários. Como a mão de obra qualificada é considerada mais produtiva (FRATESI, 2014), e a mobilidade de trabalhadores é vista na literatura como um investimento em capital humano, os sinais dessas variáveis vão de acordo com a literatura.</w:t>
      </w:r>
    </w:p>
    <w:p w14:paraId="695FE062" w14:textId="77777777" w:rsidR="00834728" w:rsidRPr="003C1656" w:rsidRDefault="00834728" w:rsidP="008347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Tanto a densidade populacional quanto o P&amp;D industrial apresentaram sinais negativos. O sinal da densidade indica que regiões menos densas apresentam maior crescimento dos salários no período. De forma análoga, a capacidade de P&amp;D regional parece afetar negativamente o crescimento salarial das regiões. Ou seja, o maior crescimento regional dos salários ocorre em regiões com fraca capacidade de P&amp;D.</w:t>
      </w:r>
    </w:p>
    <w:p w14:paraId="1E300517" w14:textId="77777777" w:rsidR="00834728" w:rsidRDefault="00834728" w:rsidP="0083472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resultados das estimações desse trabalho mostram a similaridade de conhecimento nos fluxos de mão de obra qualificada como o principal impulsionador de crescimento regional, agindo como um indicador de externalidades MAR. A formação de mercados de trabalho especializados impactam positivamente a taxa de remuneração regional. </w:t>
      </w:r>
    </w:p>
    <w:p w14:paraId="4D13F6AB" w14:textId="3C98E540" w:rsidR="00834728" w:rsidRDefault="00834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14:paraId="509FADA1" w14:textId="77777777" w:rsidR="004714CE" w:rsidRDefault="004714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DCCEBFD" w14:textId="7A8B4CF3" w:rsidR="00F36729" w:rsidRPr="00F36729" w:rsidRDefault="00F36729" w:rsidP="005E564A">
      <w:pPr>
        <w:spacing w:after="4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36729">
        <w:rPr>
          <w:rFonts w:ascii="Times New Roman" w:eastAsia="Times New Roman" w:hAnsi="Times New Roman"/>
          <w:sz w:val="24"/>
          <w:szCs w:val="24"/>
        </w:rPr>
        <w:t xml:space="preserve">Tabela </w:t>
      </w:r>
      <w:r w:rsidR="00100AC2" w:rsidRPr="00F36729">
        <w:rPr>
          <w:rFonts w:ascii="Times New Roman" w:eastAsia="Times New Roman" w:hAnsi="Times New Roman"/>
          <w:sz w:val="24"/>
          <w:szCs w:val="24"/>
        </w:rPr>
        <w:fldChar w:fldCharType="begin"/>
      </w:r>
      <w:r w:rsidRPr="00F36729">
        <w:rPr>
          <w:rFonts w:ascii="Times New Roman" w:eastAsia="Times New Roman" w:hAnsi="Times New Roman"/>
          <w:sz w:val="24"/>
          <w:szCs w:val="24"/>
        </w:rPr>
        <w:instrText xml:space="preserve"> SEQ Tabela \* ARABIC </w:instrText>
      </w:r>
      <w:r w:rsidR="00100AC2" w:rsidRPr="00F36729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002B24">
        <w:rPr>
          <w:rFonts w:ascii="Times New Roman" w:eastAsia="Times New Roman" w:hAnsi="Times New Roman"/>
          <w:noProof/>
          <w:sz w:val="24"/>
          <w:szCs w:val="24"/>
        </w:rPr>
        <w:t>1</w:t>
      </w:r>
      <w:r w:rsidR="00100AC2" w:rsidRPr="00F36729">
        <w:rPr>
          <w:rFonts w:ascii="Times New Roman" w:eastAsia="Times New Roman" w:hAnsi="Times New Roman"/>
          <w:sz w:val="24"/>
          <w:szCs w:val="24"/>
        </w:rPr>
        <w:fldChar w:fldCharType="end"/>
      </w:r>
      <w:r w:rsidRPr="00F36729">
        <w:rPr>
          <w:rFonts w:ascii="Times New Roman" w:eastAsia="Times New Roman" w:hAnsi="Times New Roman"/>
          <w:sz w:val="24"/>
          <w:szCs w:val="24"/>
        </w:rPr>
        <w:t>– Determinantes da taxa de crescimento anual da remuneração média regional para os anos 1996-2008</w:t>
      </w:r>
    </w:p>
    <w:tbl>
      <w:tblPr>
        <w:tblW w:w="871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1134"/>
        <w:gridCol w:w="1145"/>
        <w:gridCol w:w="1123"/>
        <w:gridCol w:w="1134"/>
        <w:gridCol w:w="1134"/>
      </w:tblGrid>
      <w:tr w:rsidR="005D1B80" w:rsidRPr="005D1B80" w14:paraId="5BFC9000" w14:textId="77777777" w:rsidTr="005E564A">
        <w:trPr>
          <w:trHeight w:val="20"/>
        </w:trPr>
        <w:tc>
          <w:tcPr>
            <w:tcW w:w="30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006D4" w14:textId="77777777" w:rsidR="005D1B80" w:rsidRPr="005E564A" w:rsidRDefault="005D1B80" w:rsidP="005E56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VARIÁVEIS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B2A25E" w14:textId="1CC1C9FB" w:rsidR="005D1B80" w:rsidRPr="005E564A" w:rsidRDefault="0060752E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lang w:eastAsia="pt-BR"/>
              </w:rPr>
              <w:t>(</w:t>
            </w:r>
            <w:r w:rsidR="005D1B80"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lang w:eastAsia="pt-BR"/>
              </w:rPr>
              <w:t>)</w:t>
            </w:r>
          </w:p>
        </w:tc>
        <w:tc>
          <w:tcPr>
            <w:tcW w:w="114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0BE88F" w14:textId="12741393" w:rsidR="005D1B80" w:rsidRPr="005E564A" w:rsidRDefault="0060752E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lang w:eastAsia="pt-BR"/>
              </w:rPr>
              <w:t>(</w:t>
            </w:r>
            <w:r w:rsidR="005D1B80"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lang w:eastAsia="pt-BR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E58BE4" w14:textId="7E2CBCE5" w:rsidR="005D1B80" w:rsidRPr="005E564A" w:rsidRDefault="0060752E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lang w:eastAsia="pt-BR"/>
              </w:rPr>
              <w:t>(</w:t>
            </w:r>
            <w:r w:rsidR="005D1B80"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III</w:t>
            </w:r>
            <w:r>
              <w:rPr>
                <w:rFonts w:ascii="Times New Roman" w:eastAsia="Times New Roman" w:hAnsi="Times New Roman"/>
                <w:color w:val="000000"/>
                <w:lang w:eastAsia="pt-BR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3490C8" w14:textId="5A66BE3B" w:rsidR="005D1B80" w:rsidRPr="005E564A" w:rsidRDefault="0060752E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lang w:eastAsia="pt-BR"/>
              </w:rPr>
              <w:t>(</w:t>
            </w:r>
            <w:r w:rsidR="005D1B80"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IV</w:t>
            </w:r>
            <w:r>
              <w:rPr>
                <w:rFonts w:ascii="Times New Roman" w:eastAsia="Times New Roman" w:hAnsi="Times New Roman"/>
                <w:color w:val="000000"/>
                <w:lang w:eastAsia="pt-BR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A3122A" w14:textId="443AC70E" w:rsidR="005D1B80" w:rsidRPr="005E564A" w:rsidRDefault="0060752E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lang w:eastAsia="pt-BR"/>
              </w:rPr>
              <w:t>(</w:t>
            </w:r>
            <w:r w:rsidR="005D1B80"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V</w:t>
            </w:r>
            <w:r>
              <w:rPr>
                <w:rFonts w:ascii="Times New Roman" w:eastAsia="Times New Roman" w:hAnsi="Times New Roman"/>
                <w:color w:val="000000"/>
                <w:lang w:eastAsia="pt-BR"/>
              </w:rPr>
              <w:t>)</w:t>
            </w:r>
          </w:p>
        </w:tc>
      </w:tr>
      <w:tr w:rsidR="005D1B80" w:rsidRPr="005D1B80" w14:paraId="3353DC5C" w14:textId="77777777" w:rsidTr="005E564A">
        <w:trPr>
          <w:trHeight w:val="20"/>
        </w:trPr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396E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Taxa de remuneração (t-1)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0D3E0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-0,02**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D2AF2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-0,02**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545FA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-0,02**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A6D47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-0,02**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EEE2D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-0,02**</w:t>
            </w:r>
          </w:p>
        </w:tc>
      </w:tr>
      <w:tr w:rsidR="005D1B80" w:rsidRPr="005D1B80" w14:paraId="4C80D55A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8F1D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40F45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(-0,01)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AABB2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(-0,01)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9BF80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48AA8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8444B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(-0,01)</w:t>
            </w:r>
          </w:p>
        </w:tc>
      </w:tr>
      <w:tr w:rsidR="005D1B80" w:rsidRPr="005D1B80" w14:paraId="0B62DEEF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AAF3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Especialização</w:t>
            </w:r>
          </w:p>
          <w:p w14:paraId="73FBEA2A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  <w:proofErr w:type="gramStart"/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inter</w:t>
            </w:r>
            <w:proofErr w:type="gramEnd"/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-regional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34ED0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33749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0,05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CCE6D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7FC73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C7AE1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1B80" w:rsidRPr="005D1B80" w14:paraId="241C7AAF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3E74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BDADB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7E0FF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(-0,12)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F5D85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38AB7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D4854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1B80" w:rsidRPr="005D1B80" w14:paraId="4B0D81DC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5FF1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Variedade relacionada </w:t>
            </w:r>
          </w:p>
          <w:p w14:paraId="2ABC9A20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proofErr w:type="gramStart"/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inter</w:t>
            </w:r>
            <w:proofErr w:type="gramEnd"/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-regional</w:t>
            </w:r>
            <w:r w:rsidRPr="005E564A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17958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8F5E4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(0,18)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E0C43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93769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(0,14)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FA584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1B80" w:rsidRPr="005D1B80" w14:paraId="5FA6FD4E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A4A5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831F8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1E3BE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(-0,18)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AB22F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29DD4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D8C95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1B80" w:rsidRPr="005D1B80" w14:paraId="655E5EBE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76A0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Variedade não relacionada inter-regional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39112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13B2D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-0,08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80CCF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0246A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1A75C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1B80" w:rsidRPr="005D1B80" w14:paraId="296CB85B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958F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7766E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70797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(-0,16)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B1D73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58657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F8EFA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1B80" w:rsidRPr="005D1B80" w14:paraId="134E6E33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42FD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Especialização intrarregional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BCC22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32797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2B3C8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0,51***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7D706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0,52***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0D313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1B80" w:rsidRPr="005D1B80" w14:paraId="75C693FF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5C64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33535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CF3AA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CB08D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DEB5D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B15F9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1B80" w:rsidRPr="005D1B80" w14:paraId="177CFB6E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93B9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Variedade relacionada intrarregional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8129F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F459E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E6870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94058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63787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1B80" w:rsidRPr="005D1B80" w14:paraId="7661D0EF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6615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6F32B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B93A9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C8879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C47C5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A4B27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1B80" w:rsidRPr="005D1B80" w14:paraId="2EEFFB4C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62C1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Variedade não relacionada intrarregional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E3865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62998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6A12F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2504E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F9E12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1B80" w:rsidRPr="005D1B80" w14:paraId="5D346036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5585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5B106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507A1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253CD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5AEAD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(-0,29)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AD61A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1B80" w:rsidRPr="005D1B80" w14:paraId="43ABA4F9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DD5F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Especialização interfirma</w:t>
            </w:r>
            <w:r w:rsidRPr="005E564A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8529E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6275A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08B1F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625E4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85899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0,07</w:t>
            </w:r>
          </w:p>
        </w:tc>
      </w:tr>
      <w:tr w:rsidR="005D1B80" w:rsidRPr="005D1B80" w14:paraId="687BC368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B18F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C9145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DC123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7109E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53A04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F8345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(-0,15)</w:t>
            </w:r>
          </w:p>
        </w:tc>
      </w:tr>
      <w:tr w:rsidR="005D1B80" w:rsidRPr="005D1B80" w14:paraId="29BC7B6C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68B6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Variedade relacionada interfirma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1F898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A970A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140D5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1224A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D54D6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0,15</w:t>
            </w:r>
          </w:p>
        </w:tc>
      </w:tr>
      <w:tr w:rsidR="005D1B80" w:rsidRPr="005D1B80" w14:paraId="6E99A9E2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A45E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98496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0518C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546CB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9B8E8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769FB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(-0,18)</w:t>
            </w:r>
          </w:p>
        </w:tc>
      </w:tr>
      <w:tr w:rsidR="005D1B80" w:rsidRPr="005D1B80" w14:paraId="536A0DA7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2BEE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Variedade não relacionada interfirma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D016F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CCD1A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526C1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7873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5D8C7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-0,09</w:t>
            </w:r>
          </w:p>
        </w:tc>
      </w:tr>
      <w:tr w:rsidR="005D1B80" w:rsidRPr="005D1B80" w14:paraId="7F72BD00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A4D3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1EE60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2836F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919C1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DF88C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50161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(-0,16)</w:t>
            </w:r>
          </w:p>
        </w:tc>
      </w:tr>
      <w:tr w:rsidR="005D1B80" w:rsidRPr="005D1B80" w14:paraId="3F24837A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B63D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Densidade pop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12B23" w14:textId="2DDE7D24" w:rsidR="005D1B80" w:rsidRPr="005E564A" w:rsidRDefault="005D1B80" w:rsidP="00E34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-0,00***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0A3A0" w14:textId="4B738B98" w:rsidR="005D1B80" w:rsidRPr="005E564A" w:rsidRDefault="005D1B80" w:rsidP="00E34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-0,00***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1F6A9" w14:textId="2ABF24EE" w:rsidR="005D1B80" w:rsidRPr="005E564A" w:rsidRDefault="005D1B80" w:rsidP="00E34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-0,00***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07A74" w14:textId="01F888B8" w:rsidR="005D1B80" w:rsidRPr="005E564A" w:rsidRDefault="005D1B80" w:rsidP="00E34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-0,00***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66B70" w14:textId="36A1AE8C" w:rsidR="005D1B80" w:rsidRPr="005E564A" w:rsidRDefault="005D1B80" w:rsidP="00E34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-0,00***</w:t>
            </w:r>
          </w:p>
        </w:tc>
      </w:tr>
      <w:tr w:rsidR="005D1B80" w:rsidRPr="005D1B80" w14:paraId="58125625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A659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EAC07" w14:textId="73B1F113" w:rsidR="005D1B80" w:rsidRPr="005E564A" w:rsidRDefault="005D1B80" w:rsidP="00E34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(-0,00)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A6096" w14:textId="0C7A49EF" w:rsidR="005D1B80" w:rsidRPr="005E564A" w:rsidRDefault="005D1B80" w:rsidP="00E34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(-0,00)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81E61" w14:textId="4A731C2E" w:rsidR="005D1B80" w:rsidRPr="005E564A" w:rsidRDefault="005D1B80" w:rsidP="00E34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23872" w14:textId="3D0D000E" w:rsidR="005D1B80" w:rsidRPr="005E564A" w:rsidRDefault="005D1B80" w:rsidP="00E34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C49A6" w14:textId="36C7EFC7" w:rsidR="005D1B80" w:rsidRPr="005E564A" w:rsidRDefault="005D1B80" w:rsidP="00E34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(-0,00)</w:t>
            </w:r>
          </w:p>
        </w:tc>
      </w:tr>
      <w:tr w:rsidR="005D1B80" w:rsidRPr="005D1B80" w14:paraId="383825D6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B869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Capital humano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26E5D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5,24***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08D93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5,25***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40530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5,26***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7D289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5,26***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4B246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5,25***</w:t>
            </w:r>
          </w:p>
        </w:tc>
      </w:tr>
      <w:tr w:rsidR="005D1B80" w:rsidRPr="005D1B80" w14:paraId="7F65D5A3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46B3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53790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(-0,30)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176CA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(-0,29)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6F74D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A2F98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(-0,29)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0C657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(-0,29)</w:t>
            </w:r>
          </w:p>
        </w:tc>
      </w:tr>
      <w:tr w:rsidR="005D1B80" w:rsidRPr="005D1B80" w14:paraId="6A6905E3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CCD9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P&amp;D industrial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C5369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-2,67***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8ADED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-2,68***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526B8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-2,66***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B12DC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-2,66***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F51FD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-2,67***</w:t>
            </w:r>
          </w:p>
        </w:tc>
      </w:tr>
      <w:tr w:rsidR="005D1B80" w:rsidRPr="005D1B80" w14:paraId="739BCCE1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D165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4FA2A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(-0,78)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DFB5E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(-0,78)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12461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D9845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772CB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(-0,78)</w:t>
            </w:r>
          </w:p>
        </w:tc>
      </w:tr>
      <w:tr w:rsidR="005D1B80" w:rsidRPr="005D1B80" w14:paraId="1F3C558E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CC99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Mobilidade líquida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8E2F8" w14:textId="2F468534" w:rsidR="005D1B80" w:rsidRPr="005E564A" w:rsidRDefault="005D1B80" w:rsidP="00E34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838B0" w14:textId="3F70E28C" w:rsidR="005D1B80" w:rsidRPr="005E564A" w:rsidRDefault="005D1B80" w:rsidP="00E34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35D55" w14:textId="68AFF9B6" w:rsidR="005D1B80" w:rsidRPr="005E564A" w:rsidRDefault="005D1B80" w:rsidP="00E34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02B7E" w14:textId="420BA7B0" w:rsidR="005D1B80" w:rsidRPr="005E564A" w:rsidRDefault="005D1B80" w:rsidP="00E34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161A9" w14:textId="542CEC58" w:rsidR="005D1B80" w:rsidRPr="005E564A" w:rsidRDefault="005D1B80" w:rsidP="00E34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0,00</w:t>
            </w:r>
          </w:p>
        </w:tc>
      </w:tr>
      <w:tr w:rsidR="005D1B80" w:rsidRPr="005D1B80" w14:paraId="2069169B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F529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C182A" w14:textId="5A73CAE7" w:rsidR="005D1B80" w:rsidRPr="005E564A" w:rsidRDefault="005D1B80" w:rsidP="00E34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(-0,00)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7B6CE" w14:textId="273BDF14" w:rsidR="005D1B80" w:rsidRPr="005E564A" w:rsidRDefault="005D1B80" w:rsidP="00E34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(-0,00)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FBD7" w14:textId="3EE9CFF7" w:rsidR="005D1B80" w:rsidRPr="005E564A" w:rsidRDefault="005D1B80" w:rsidP="00E34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647FE" w14:textId="2ADC1E6F" w:rsidR="005D1B80" w:rsidRPr="005E564A" w:rsidRDefault="005D1B80" w:rsidP="00E34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4896E" w14:textId="59884AC9" w:rsidR="005D1B80" w:rsidRPr="005E564A" w:rsidRDefault="005D1B80" w:rsidP="00E34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(-0,00)</w:t>
            </w:r>
          </w:p>
        </w:tc>
      </w:tr>
      <w:tr w:rsidR="005D1B80" w:rsidRPr="005D1B80" w14:paraId="4887A6E6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0362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Taxa de mobilidade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FC6F4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0,49***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05E54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0,43**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F6E44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0,48***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617EB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0,46**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07DD2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0,43**</w:t>
            </w:r>
          </w:p>
        </w:tc>
      </w:tr>
      <w:tr w:rsidR="005D1B80" w:rsidRPr="005D1B80" w14:paraId="65620C48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9595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9284D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(-0,14)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C1480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(-0,18)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B362A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99D8E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E488D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(-0,17)</w:t>
            </w:r>
          </w:p>
        </w:tc>
      </w:tr>
      <w:tr w:rsidR="005D1B80" w:rsidRPr="005D1B80" w14:paraId="6FD55C55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15CC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Constante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725AC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-0,22***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D2D59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-0,22***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17E74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-0,24***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D2127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-0,24***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D9622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-0,03</w:t>
            </w:r>
          </w:p>
        </w:tc>
      </w:tr>
      <w:tr w:rsidR="005D1B80" w:rsidRPr="005D1B80" w14:paraId="6ABDC2B5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1BBE" w14:textId="77777777" w:rsidR="005D1B80" w:rsidRPr="005E564A" w:rsidRDefault="005D1B80" w:rsidP="008A26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93365" w14:textId="77777777" w:rsidR="005D1B80" w:rsidRPr="005E564A" w:rsidRDefault="005D1B80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(-0,04)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58EB2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(-0,04)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016D0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(-0,04)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7DC5D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(-0,04)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DBB77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(-0,04)</w:t>
            </w:r>
          </w:p>
        </w:tc>
      </w:tr>
      <w:tr w:rsidR="005D1B80" w:rsidRPr="005D1B80" w14:paraId="6B370247" w14:textId="77777777" w:rsidTr="005E564A">
        <w:trPr>
          <w:trHeight w:val="20"/>
        </w:trPr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38AF9" w14:textId="77777777" w:rsidR="005D1B80" w:rsidRPr="005E564A" w:rsidRDefault="005D1B80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Observações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7378B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5.362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A951A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5.362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6FCD5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5.362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E50EB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5.362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32389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5.362</w:t>
            </w:r>
          </w:p>
        </w:tc>
      </w:tr>
      <w:tr w:rsidR="005D1B80" w:rsidRPr="005D1B80" w14:paraId="0FCE0B1F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F50E2" w14:textId="77777777" w:rsidR="005D1B80" w:rsidRPr="005E564A" w:rsidRDefault="005D1B80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Número de </w:t>
            </w:r>
            <w:proofErr w:type="spellStart"/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Regics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EC7F1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474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93A39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474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B7619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E6B4F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78174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474</w:t>
            </w:r>
          </w:p>
        </w:tc>
      </w:tr>
      <w:tr w:rsidR="005D1B80" w:rsidRPr="005D1B80" w14:paraId="31B9B839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D5EC7" w14:textId="77777777" w:rsidR="005D1B80" w:rsidRPr="005E564A" w:rsidRDefault="005D1B80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Dummy de ano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9F32D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SIM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2DAFE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SIM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80D5A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SIM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50FAF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SIM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78C2F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SIM</w:t>
            </w:r>
          </w:p>
        </w:tc>
      </w:tr>
      <w:tr w:rsidR="005D1B80" w:rsidRPr="005D1B80" w14:paraId="2CA09B44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D31AF" w14:textId="77777777" w:rsidR="005D1B80" w:rsidRPr="005E564A" w:rsidRDefault="005D1B80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Grupos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7CB49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474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E78A6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474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75CEE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5147E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FED54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474</w:t>
            </w:r>
          </w:p>
        </w:tc>
      </w:tr>
      <w:tr w:rsidR="005D1B80" w:rsidRPr="005D1B80" w14:paraId="61A0F77E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13AD3" w14:textId="77777777" w:rsidR="005D1B80" w:rsidRPr="005E564A" w:rsidRDefault="005D1B80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Instrumentos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A7032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29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EE2D7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68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1202E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C68E4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0C70C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68</w:t>
            </w:r>
          </w:p>
        </w:tc>
      </w:tr>
      <w:tr w:rsidR="005D1B80" w:rsidRPr="005D1B80" w14:paraId="762498B3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37855" w14:textId="77777777" w:rsidR="005D1B80" w:rsidRPr="005E564A" w:rsidRDefault="005D1B80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AR1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C53BB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0,008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51AB4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0,007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E4947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DF320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4CD4B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0,007</w:t>
            </w:r>
          </w:p>
        </w:tc>
      </w:tr>
      <w:tr w:rsidR="005D1B80" w:rsidRPr="005D1B80" w14:paraId="6B7891A4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2FECA" w14:textId="77777777" w:rsidR="005D1B80" w:rsidRPr="005E564A" w:rsidRDefault="005D1B80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AR2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F57DA7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0,759</w:t>
            </w: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AE2234A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0,752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70D3DB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0,750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37C49B5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0,748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22473BB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0,754</w:t>
            </w:r>
          </w:p>
        </w:tc>
      </w:tr>
      <w:tr w:rsidR="005D1B80" w:rsidRPr="005D1B80" w14:paraId="50087955" w14:textId="77777777" w:rsidTr="005E564A">
        <w:trPr>
          <w:trHeight w:val="20"/>
        </w:trPr>
        <w:tc>
          <w:tcPr>
            <w:tcW w:w="304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83013" w14:textId="77777777" w:rsidR="005D1B80" w:rsidRPr="005E564A" w:rsidRDefault="005D1B80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Teste Sargan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D9072C" w14:textId="77777777" w:rsidR="005D1B80" w:rsidRPr="005E564A" w:rsidRDefault="005D1B8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0,981</w:t>
            </w:r>
          </w:p>
        </w:tc>
        <w:tc>
          <w:tcPr>
            <w:tcW w:w="114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F4D449" w14:textId="77777777" w:rsidR="005D1B80" w:rsidRPr="005E564A" w:rsidRDefault="005D1B8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1,000</w:t>
            </w:r>
            <w:r w:rsidRPr="005E564A">
              <w:rPr>
                <w:rFonts w:eastAsia="Times New Roman" w:cs="Calibri"/>
                <w:color w:val="000000"/>
                <w:lang w:eastAsia="pt-BR"/>
              </w:rPr>
              <w:t>  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80E24A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760EB1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1E8607" w14:textId="77777777" w:rsidR="005D1B80" w:rsidRPr="005E564A" w:rsidRDefault="005D1B8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5E564A">
              <w:rPr>
                <w:rFonts w:ascii="Times New Roman" w:eastAsia="Times New Roman" w:hAnsi="Times New Roman"/>
                <w:color w:val="000000"/>
                <w:lang w:eastAsia="pt-BR"/>
              </w:rPr>
              <w:t>1,000</w:t>
            </w:r>
          </w:p>
        </w:tc>
      </w:tr>
    </w:tbl>
    <w:p w14:paraId="702393F5" w14:textId="77777777" w:rsidR="00AB7E5B" w:rsidRDefault="00AB7E5B" w:rsidP="004F0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545953">
        <w:rPr>
          <w:rFonts w:ascii="Times New Roman" w:hAnsi="Times New Roman"/>
          <w:sz w:val="20"/>
          <w:szCs w:val="20"/>
        </w:rPr>
        <w:t>Erros padrões nos parênteses</w:t>
      </w:r>
      <w:r>
        <w:rPr>
          <w:rFonts w:ascii="Times New Roman" w:hAnsi="Times New Roman"/>
          <w:sz w:val="20"/>
          <w:szCs w:val="20"/>
        </w:rPr>
        <w:t>; 2) *** p&lt;0,01; ** p&lt;0,05; * p&lt;0,</w:t>
      </w:r>
      <w:r w:rsidRPr="00545953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; 3) L. é o operador de defasagem temporal</w:t>
      </w:r>
      <w:r w:rsidRPr="00313661">
        <w:rPr>
          <w:rFonts w:ascii="Times New Roman" w:hAnsi="Times New Roman"/>
          <w:sz w:val="20"/>
          <w:szCs w:val="20"/>
        </w:rPr>
        <w:t xml:space="preserve"> </w:t>
      </w:r>
    </w:p>
    <w:p w14:paraId="1FF0154B" w14:textId="77777777" w:rsidR="007E360D" w:rsidRDefault="00AB7E5B" w:rsidP="006D4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Fonte: elaboração dos autores</w:t>
      </w:r>
    </w:p>
    <w:p w14:paraId="02B5D31C" w14:textId="77777777" w:rsidR="00C3687D" w:rsidRDefault="00C3687D" w:rsidP="006D4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856EAE" w14:textId="77777777" w:rsidR="00C01E4C" w:rsidRDefault="00C01E4C" w:rsidP="00C01E4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Pela análise empírica desse trabalho, o transbordamento de conhecimento advindo da mobilidade de mão de obra qualificada apresentou um caráter regional e setorial, não ocorrendo de uma região para outra, nem entre setores. No longo prazo, isso indicaria um efeito de </w:t>
      </w:r>
      <w:proofErr w:type="spellStart"/>
      <w:r>
        <w:rPr>
          <w:rFonts w:ascii="Times New Roman" w:hAnsi="Times New Roman"/>
          <w:i/>
          <w:sz w:val="24"/>
          <w:szCs w:val="24"/>
        </w:rPr>
        <w:t>lock</w:t>
      </w:r>
      <w:proofErr w:type="spellEnd"/>
      <w:r>
        <w:rPr>
          <w:rFonts w:ascii="Times New Roman" w:hAnsi="Times New Roman"/>
          <w:i/>
          <w:sz w:val="24"/>
          <w:szCs w:val="24"/>
        </w:rPr>
        <w:t>-in</w:t>
      </w:r>
      <w:r>
        <w:rPr>
          <w:rFonts w:ascii="Times New Roman" w:hAnsi="Times New Roman"/>
          <w:sz w:val="24"/>
          <w:szCs w:val="24"/>
        </w:rPr>
        <w:t xml:space="preserve"> que pode ser danoso ao crescimento econômico.</w:t>
      </w:r>
    </w:p>
    <w:p w14:paraId="7CE3C18E" w14:textId="77777777" w:rsidR="00C01E4C" w:rsidRDefault="00C01E4C" w:rsidP="006D4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7A5DFF" w14:textId="076D5804" w:rsidR="002F3041" w:rsidRPr="002F3041" w:rsidRDefault="002F3041" w:rsidP="00C01E4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3041">
        <w:rPr>
          <w:rFonts w:ascii="Times New Roman" w:hAnsi="Times New Roman"/>
          <w:b/>
          <w:sz w:val="24"/>
          <w:szCs w:val="24"/>
        </w:rPr>
        <w:t xml:space="preserve">7. TESTE DE ROBUSTEZ </w:t>
      </w:r>
    </w:p>
    <w:p w14:paraId="60FAD965" w14:textId="08D64409" w:rsidR="004714CE" w:rsidRDefault="00A03990" w:rsidP="00C01E4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D855EA">
        <w:rPr>
          <w:rFonts w:ascii="Times New Roman" w:hAnsi="Times New Roman"/>
          <w:sz w:val="24"/>
          <w:szCs w:val="24"/>
        </w:rPr>
        <w:t>tiliz</w:t>
      </w:r>
      <w:r>
        <w:rPr>
          <w:rFonts w:ascii="Times New Roman" w:hAnsi="Times New Roman"/>
          <w:sz w:val="24"/>
          <w:szCs w:val="24"/>
        </w:rPr>
        <w:t>ou-se</w:t>
      </w:r>
      <w:r w:rsidR="00D855EA">
        <w:rPr>
          <w:rFonts w:ascii="Times New Roman" w:hAnsi="Times New Roman"/>
          <w:sz w:val="24"/>
          <w:szCs w:val="24"/>
        </w:rPr>
        <w:t xml:space="preserve"> estimações da taxa de crescimento anual do emprego regional como testes de robustez</w:t>
      </w:r>
      <w:r w:rsidR="00C502C5">
        <w:rPr>
          <w:rFonts w:ascii="Times New Roman" w:hAnsi="Times New Roman"/>
          <w:sz w:val="24"/>
          <w:szCs w:val="24"/>
        </w:rPr>
        <w:t xml:space="preserve"> para os resultados da tabela 1</w:t>
      </w:r>
      <w:r>
        <w:rPr>
          <w:rFonts w:ascii="Times New Roman" w:hAnsi="Times New Roman"/>
          <w:sz w:val="24"/>
          <w:szCs w:val="24"/>
        </w:rPr>
        <w:t>, sendo estes apresentados na</w:t>
      </w:r>
      <w:r w:rsidR="004212EB">
        <w:rPr>
          <w:rFonts w:ascii="Times New Roman" w:hAnsi="Times New Roman"/>
          <w:sz w:val="24"/>
          <w:szCs w:val="24"/>
        </w:rPr>
        <w:t xml:space="preserve"> tabela 2</w:t>
      </w:r>
      <w:r w:rsidR="004212EB" w:rsidRPr="008A26E4">
        <w:rPr>
          <w:rFonts w:ascii="Times New Roman" w:hAnsi="Times New Roman"/>
          <w:sz w:val="24"/>
          <w:szCs w:val="24"/>
        </w:rPr>
        <w:t>.</w:t>
      </w:r>
    </w:p>
    <w:p w14:paraId="565D6CF3" w14:textId="5411BFD3" w:rsidR="00C01E4C" w:rsidRDefault="004714CE" w:rsidP="00C01E4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se utilizar a taxa de crescimento anual do emprego como indicador de crescimento, os resultados corroboram os resultados da tabela 1, indicando que o grau especialização intrarregional é o principal impulsionador de crescimento regional no Brasil. Além disso, os modelos estimados passam em todos os testes de diagnósticos do modelo GMM.</w:t>
      </w:r>
      <w:r w:rsidR="00C01E4C">
        <w:rPr>
          <w:rFonts w:ascii="Times New Roman" w:hAnsi="Times New Roman"/>
          <w:sz w:val="24"/>
          <w:szCs w:val="24"/>
        </w:rPr>
        <w:t xml:space="preserve"> </w:t>
      </w:r>
    </w:p>
    <w:p w14:paraId="1D2EE7F5" w14:textId="1272DD72" w:rsidR="009C3CF4" w:rsidRPr="007B2FD5" w:rsidRDefault="009C3CF4" w:rsidP="007B2FD5">
      <w:pPr>
        <w:jc w:val="center"/>
        <w:rPr>
          <w:rFonts w:ascii="Times New Roman" w:hAnsi="Times New Roman"/>
          <w:i/>
          <w:sz w:val="24"/>
          <w:szCs w:val="24"/>
        </w:rPr>
      </w:pPr>
      <w:r w:rsidRPr="007B2FD5">
        <w:rPr>
          <w:rFonts w:ascii="Times New Roman" w:hAnsi="Times New Roman"/>
          <w:sz w:val="24"/>
          <w:szCs w:val="24"/>
        </w:rPr>
        <w:t xml:space="preserve">Tabela </w:t>
      </w:r>
      <w:r w:rsidR="00100AC2" w:rsidRPr="007B2FD5">
        <w:rPr>
          <w:rFonts w:ascii="Times New Roman" w:hAnsi="Times New Roman"/>
          <w:sz w:val="24"/>
          <w:szCs w:val="24"/>
        </w:rPr>
        <w:fldChar w:fldCharType="begin"/>
      </w:r>
      <w:r w:rsidRPr="007B2FD5">
        <w:rPr>
          <w:rFonts w:ascii="Times New Roman" w:hAnsi="Times New Roman"/>
          <w:sz w:val="24"/>
          <w:szCs w:val="24"/>
        </w:rPr>
        <w:instrText xml:space="preserve"> SEQ Tabela \* ARABIC </w:instrText>
      </w:r>
      <w:r w:rsidR="00100AC2" w:rsidRPr="007B2FD5">
        <w:rPr>
          <w:rFonts w:ascii="Times New Roman" w:hAnsi="Times New Roman"/>
          <w:sz w:val="24"/>
          <w:szCs w:val="24"/>
        </w:rPr>
        <w:fldChar w:fldCharType="separate"/>
      </w:r>
      <w:r w:rsidR="00002B24">
        <w:rPr>
          <w:rFonts w:ascii="Times New Roman" w:hAnsi="Times New Roman"/>
          <w:noProof/>
          <w:sz w:val="24"/>
          <w:szCs w:val="24"/>
        </w:rPr>
        <w:t>2</w:t>
      </w:r>
      <w:r w:rsidR="00100AC2" w:rsidRPr="007B2FD5">
        <w:rPr>
          <w:rFonts w:ascii="Times New Roman" w:hAnsi="Times New Roman"/>
          <w:sz w:val="24"/>
          <w:szCs w:val="24"/>
        </w:rPr>
        <w:fldChar w:fldCharType="end"/>
      </w:r>
      <w:r w:rsidRPr="007B2FD5">
        <w:rPr>
          <w:rFonts w:ascii="Times New Roman" w:hAnsi="Times New Roman"/>
          <w:sz w:val="24"/>
          <w:szCs w:val="24"/>
        </w:rPr>
        <w:t>– Teste de robustez utilizando a taxa de crescimento anual do emprego como variável dependente</w:t>
      </w:r>
      <w:r w:rsidR="00CD39F9" w:rsidRPr="007B2FD5">
        <w:rPr>
          <w:rFonts w:ascii="Times New Roman" w:hAnsi="Times New Roman"/>
          <w:sz w:val="24"/>
          <w:szCs w:val="24"/>
        </w:rPr>
        <w:t xml:space="preserve"> </w:t>
      </w:r>
      <w:r w:rsidR="00785F72" w:rsidRPr="007B2FD5">
        <w:rPr>
          <w:rFonts w:ascii="Times New Roman" w:hAnsi="Times New Roman"/>
          <w:sz w:val="24"/>
          <w:szCs w:val="24"/>
        </w:rPr>
        <w:t>para os anos 1996-2008</w:t>
      </w:r>
    </w:p>
    <w:tbl>
      <w:tblPr>
        <w:tblW w:w="857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1134"/>
        <w:gridCol w:w="1116"/>
        <w:gridCol w:w="1152"/>
        <w:gridCol w:w="1134"/>
        <w:gridCol w:w="1134"/>
      </w:tblGrid>
      <w:tr w:rsidR="004A7B9D" w:rsidRPr="00A03990" w14:paraId="12C3E2D7" w14:textId="77777777" w:rsidTr="00142D09">
        <w:trPr>
          <w:trHeight w:val="20"/>
        </w:trPr>
        <w:tc>
          <w:tcPr>
            <w:tcW w:w="290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DDBC6A" w14:textId="77777777" w:rsidR="004A7B9D" w:rsidRPr="00142D09" w:rsidRDefault="004A7B9D" w:rsidP="004F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VARIÁVEIS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91EE33" w14:textId="2E9FC98F" w:rsidR="004A7B9D" w:rsidRPr="00142D09" w:rsidRDefault="00A03990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</w:t>
            </w:r>
            <w:r w:rsidR="004A7B9D"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I</w:t>
            </w: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)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6BDD23" w14:textId="144B125B" w:rsidR="004A7B9D" w:rsidRPr="00142D09" w:rsidRDefault="00A03990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</w:t>
            </w:r>
            <w:r w:rsidR="004A7B9D"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II</w:t>
            </w: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)</w:t>
            </w: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0F73EA" w14:textId="259ABA7A" w:rsidR="004A7B9D" w:rsidRPr="00142D09" w:rsidRDefault="00A0399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</w:t>
            </w:r>
            <w:r w:rsidR="004A7B9D"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III</w:t>
            </w: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DE9692" w14:textId="1B5C24A8" w:rsidR="004A7B9D" w:rsidRPr="00142D09" w:rsidRDefault="00A0399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</w:t>
            </w:r>
            <w:r w:rsidR="004A7B9D"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IV</w:t>
            </w: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35294" w14:textId="772B5895" w:rsidR="004A7B9D" w:rsidRPr="00142D09" w:rsidRDefault="00A03990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</w:t>
            </w:r>
            <w:r w:rsidR="004A7B9D"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V</w:t>
            </w: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)</w:t>
            </w:r>
          </w:p>
        </w:tc>
      </w:tr>
      <w:tr w:rsidR="004A7B9D" w:rsidRPr="00A03990" w14:paraId="68E567CD" w14:textId="77777777" w:rsidTr="00142D09">
        <w:trPr>
          <w:trHeight w:val="20"/>
        </w:trPr>
        <w:tc>
          <w:tcPr>
            <w:tcW w:w="2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21B3B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Taxa de emprego (t-1)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BB16E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-0,05***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27A57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-0,04***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C29FB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-0,05***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35BDF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-0,04***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8641D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-0,05***</w:t>
            </w:r>
          </w:p>
        </w:tc>
      </w:tr>
      <w:tr w:rsidR="004A7B9D" w:rsidRPr="00A03990" w14:paraId="38403AA8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C1750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72ADD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(-0,01)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408BF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(-0,01)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06487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D3A0D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8E89B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(-0,01)</w:t>
            </w:r>
          </w:p>
        </w:tc>
      </w:tr>
      <w:tr w:rsidR="004A7B9D" w:rsidRPr="00A03990" w14:paraId="3BE66010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7094A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Especialização</w:t>
            </w:r>
          </w:p>
          <w:p w14:paraId="75CC0F95" w14:textId="77777777" w:rsidR="004A7B9D" w:rsidRPr="00142D09" w:rsidRDefault="004A7B9D" w:rsidP="006D4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  <w:proofErr w:type="gramStart"/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inter</w:t>
            </w:r>
            <w:proofErr w:type="gramEnd"/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-regional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EADB5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AC5DC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538E1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3CCCF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4D619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4A7B9D" w:rsidRPr="00A03990" w14:paraId="5E819BBE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1DB5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05EB3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DF0D7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(-0,07)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D2CAA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75752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D84EF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4A7B9D" w:rsidRPr="00A03990" w14:paraId="20C33455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0A1F0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Variedade relacionada</w:t>
            </w:r>
          </w:p>
          <w:p w14:paraId="23914CD4" w14:textId="77777777" w:rsidR="004A7B9D" w:rsidRPr="00142D09" w:rsidRDefault="004A7B9D" w:rsidP="006D4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proofErr w:type="gramStart"/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inter</w:t>
            </w:r>
            <w:proofErr w:type="gramEnd"/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-regional</w:t>
            </w:r>
            <w:r w:rsidRPr="00142D0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D3649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85D1E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9367D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C5D83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C270F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4A7B9D" w:rsidRPr="00A03990" w14:paraId="56FCBCDB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B5819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FB243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6A5DC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(-0,08)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5A385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EDA72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EF293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4A7B9D" w:rsidRPr="00A03990" w14:paraId="2EE9B426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5F407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Variedade não relacionada inter-regional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F7B8B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37CE0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-0,01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AA778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77772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-0,02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E0384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4A7B9D" w:rsidRPr="00A03990" w14:paraId="0DD719D4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0DD6F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BDE0A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202FE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(-0,07)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9B08C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6E8BE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B7A7F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4A7B9D" w:rsidRPr="00A03990" w14:paraId="1842D8C1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69CA1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Especialização intrarregional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39252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138B8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9B805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0,20***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5751A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0,21***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A45C1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4A7B9D" w:rsidRPr="00A03990" w14:paraId="7D7FBB77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21D35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763D4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D933B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628C2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66ABA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929A6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4A7B9D" w:rsidRPr="00A03990" w14:paraId="1FA4FE70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7AF4E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Variedade relacionada intrarregional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D0C8A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6F5BB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DDA7B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-0,09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36877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-0,08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B7785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4A7B9D" w:rsidRPr="00A03990" w14:paraId="00D4078F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1CF5A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C802C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DCE9C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BFA1B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6D56E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6C9AF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4A7B9D" w:rsidRPr="00A03990" w14:paraId="0B389FDD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2A947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Variedade não relacionada intrarregional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4E8B3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01383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9656E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-0,17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4E276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-0,16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096DF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4A7B9D" w:rsidRPr="00A03990" w14:paraId="3320FC33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99344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3511A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B0B2B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8375B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06385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6A767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4A7B9D" w:rsidRPr="00A03990" w14:paraId="7086E73D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80BF1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Especialização </w:t>
            </w:r>
          </w:p>
          <w:p w14:paraId="7F6EE71A" w14:textId="77777777" w:rsidR="004A7B9D" w:rsidRPr="00142D09" w:rsidRDefault="004A7B9D" w:rsidP="006D4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proofErr w:type="gramStart"/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interfirma</w:t>
            </w:r>
            <w:proofErr w:type="gramEnd"/>
            <w:r w:rsidRPr="00142D0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4C662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B73D8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801EF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EE6D8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ACF14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0,04</w:t>
            </w:r>
          </w:p>
        </w:tc>
      </w:tr>
      <w:tr w:rsidR="004A7B9D" w:rsidRPr="00A03990" w14:paraId="4839C090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1F91D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E7B05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22C1B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30EF9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224E0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D649D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(-0,07)</w:t>
            </w:r>
          </w:p>
        </w:tc>
      </w:tr>
      <w:tr w:rsidR="004A7B9D" w:rsidRPr="00A03990" w14:paraId="1150EDAE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D32DF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Variedade relacionada interfirma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577B2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DA39B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A5722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DADDD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3AA17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0,07</w:t>
            </w:r>
          </w:p>
        </w:tc>
      </w:tr>
      <w:tr w:rsidR="004A7B9D" w:rsidRPr="00A03990" w14:paraId="11AB06C6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ADDF6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21795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F9A93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9E560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163FA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527F7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(-0,08)</w:t>
            </w:r>
          </w:p>
        </w:tc>
      </w:tr>
      <w:tr w:rsidR="004A7B9D" w:rsidRPr="00A03990" w14:paraId="3624B94E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F9DD0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Variedade não relacionada interfirma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62421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4F195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4DB09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3D669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57ACC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-0,04</w:t>
            </w:r>
          </w:p>
        </w:tc>
      </w:tr>
      <w:tr w:rsidR="004A7B9D" w:rsidRPr="00A03990" w14:paraId="5845F51C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5ACF8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97272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85CC6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BFE36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40EC5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77B67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(-0,07)</w:t>
            </w:r>
          </w:p>
        </w:tc>
      </w:tr>
      <w:tr w:rsidR="004A7B9D" w:rsidRPr="00A03990" w14:paraId="11B78A0D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91315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Densidade pop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DD349" w14:textId="68B033CA" w:rsidR="004A7B9D" w:rsidRPr="00142D09" w:rsidRDefault="004A7B9D" w:rsidP="0007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-0,00***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F7C5F" w14:textId="4ABFAA6B" w:rsidR="004A7B9D" w:rsidRPr="00142D09" w:rsidRDefault="004A7B9D" w:rsidP="0007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-0,00***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33516" w14:textId="35F9A323" w:rsidR="004A7B9D" w:rsidRPr="00142D09" w:rsidRDefault="004A7B9D" w:rsidP="0007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-0,00***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8480A" w14:textId="44F44E81" w:rsidR="004A7B9D" w:rsidRPr="00142D09" w:rsidRDefault="004A7B9D" w:rsidP="0007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-0,00***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06035" w14:textId="6B748E11" w:rsidR="004A7B9D" w:rsidRPr="00142D09" w:rsidRDefault="004A7B9D" w:rsidP="0007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-0,00***</w:t>
            </w:r>
          </w:p>
        </w:tc>
      </w:tr>
      <w:tr w:rsidR="004A7B9D" w:rsidRPr="00A03990" w14:paraId="15190B7E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7E26C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630EE" w14:textId="717B0EE5" w:rsidR="004A7B9D" w:rsidRPr="00142D09" w:rsidRDefault="004A7B9D" w:rsidP="0007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(-0,00)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029A7" w14:textId="18F7569D" w:rsidR="004A7B9D" w:rsidRPr="00142D09" w:rsidRDefault="004A7B9D" w:rsidP="0007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(-0,00)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AA3A4" w14:textId="63C27C68" w:rsidR="004A7B9D" w:rsidRPr="00142D09" w:rsidRDefault="004A7B9D" w:rsidP="0007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4985A" w14:textId="372B848A" w:rsidR="004A7B9D" w:rsidRPr="00142D09" w:rsidRDefault="004A7B9D" w:rsidP="0007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5A35E" w14:textId="1B88650C" w:rsidR="004A7B9D" w:rsidRPr="00142D09" w:rsidRDefault="004A7B9D" w:rsidP="0007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(-0,00)</w:t>
            </w:r>
          </w:p>
        </w:tc>
      </w:tr>
      <w:tr w:rsidR="004A7B9D" w:rsidRPr="00A03990" w14:paraId="4D513B1E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A990B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Capital humano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E24A5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1,96***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0AC47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1,98***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DED92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1,98***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FC259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1,99***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F8EAD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1,97***</w:t>
            </w:r>
          </w:p>
        </w:tc>
      </w:tr>
      <w:tr w:rsidR="004A7B9D" w:rsidRPr="00A03990" w14:paraId="79C87A4A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5D78C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AF40C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(-0,13)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13033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(-0,13)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2E513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AEDDC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3D03C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(-0,13)</w:t>
            </w:r>
          </w:p>
        </w:tc>
      </w:tr>
      <w:tr w:rsidR="004A7B9D" w:rsidRPr="00A03990" w14:paraId="66816F89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869B0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P&amp;D industrial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B41B5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-1,21***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47C26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-1,21***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B648C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-1,20***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CFED1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-1,20***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854FE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-1,20***</w:t>
            </w:r>
          </w:p>
        </w:tc>
      </w:tr>
      <w:tr w:rsidR="004A7B9D" w:rsidRPr="00A03990" w14:paraId="7935DE31" w14:textId="77777777" w:rsidTr="00DA70B2">
        <w:trPr>
          <w:trHeight w:val="20"/>
        </w:trPr>
        <w:tc>
          <w:tcPr>
            <w:tcW w:w="290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A0BDC1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C4691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(-0,35)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BFE05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(-0,35)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CDB62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92913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99C16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(-0,35)</w:t>
            </w:r>
          </w:p>
        </w:tc>
      </w:tr>
      <w:tr w:rsidR="00DA70B2" w:rsidRPr="00A03990" w14:paraId="4D6E1DEC" w14:textId="77777777" w:rsidTr="00A042D2">
        <w:trPr>
          <w:trHeight w:val="20"/>
        </w:trPr>
        <w:tc>
          <w:tcPr>
            <w:tcW w:w="8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1BF8C" w14:textId="12287A91" w:rsidR="00DA70B2" w:rsidRPr="00142D09" w:rsidRDefault="00DA70B2" w:rsidP="00DA70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lang w:eastAsia="pt-BR"/>
              </w:rPr>
              <w:lastRenderedPageBreak/>
              <w:t>(continuação)</w:t>
            </w:r>
          </w:p>
        </w:tc>
      </w:tr>
      <w:tr w:rsidR="008A09BD" w:rsidRPr="00A03990" w14:paraId="7AF2D10A" w14:textId="77777777" w:rsidTr="00DA70B2">
        <w:trPr>
          <w:trHeight w:val="20"/>
        </w:trPr>
        <w:tc>
          <w:tcPr>
            <w:tcW w:w="290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7AA3DC" w14:textId="72E4AFA9" w:rsidR="008A09BD" w:rsidRPr="00142D09" w:rsidRDefault="008A09BD" w:rsidP="00DA7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VARIÁVEIS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ED0C5C" w14:textId="4A33D5AA" w:rsidR="008A09BD" w:rsidRPr="00142D09" w:rsidRDefault="008A09BD" w:rsidP="00DA7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(I)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FFEC4E" w14:textId="4198AA8F" w:rsidR="008A09BD" w:rsidRPr="00142D09" w:rsidRDefault="008A09BD" w:rsidP="00DA7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(II)</w:t>
            </w: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193FBB" w14:textId="18D3F496" w:rsidR="008A09BD" w:rsidRPr="00142D09" w:rsidRDefault="008A09BD" w:rsidP="00DA7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(III)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AEC925" w14:textId="165AE0A8" w:rsidR="008A09BD" w:rsidRPr="00142D09" w:rsidRDefault="008A09BD" w:rsidP="00DA7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(IV)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674C9C" w14:textId="37694F6B" w:rsidR="008A09BD" w:rsidRPr="00142D09" w:rsidRDefault="008A09BD" w:rsidP="00DA7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(V)</w:t>
            </w:r>
          </w:p>
        </w:tc>
      </w:tr>
      <w:tr w:rsidR="004A7B9D" w:rsidRPr="00A03990" w14:paraId="181BD62D" w14:textId="77777777" w:rsidTr="00DA70B2">
        <w:trPr>
          <w:trHeight w:val="20"/>
        </w:trPr>
        <w:tc>
          <w:tcPr>
            <w:tcW w:w="2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9F4B7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Mobilidade líquida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DCE26" w14:textId="5A9938B4" w:rsidR="004A7B9D" w:rsidRPr="00142D09" w:rsidRDefault="004A7B9D" w:rsidP="0007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A4E16" w14:textId="432125D6" w:rsidR="004A7B9D" w:rsidRPr="00142D09" w:rsidRDefault="004A7B9D" w:rsidP="0007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28A5F" w14:textId="69B5516A" w:rsidR="004A7B9D" w:rsidRPr="00142D09" w:rsidRDefault="004A7B9D" w:rsidP="0007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312F5" w14:textId="6C014511" w:rsidR="004A7B9D" w:rsidRPr="00142D09" w:rsidRDefault="004A7B9D" w:rsidP="0007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B46E6" w14:textId="07C39D28" w:rsidR="004A7B9D" w:rsidRPr="00142D09" w:rsidRDefault="004A7B9D" w:rsidP="0007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0,00</w:t>
            </w:r>
          </w:p>
        </w:tc>
      </w:tr>
      <w:tr w:rsidR="004A7B9D" w:rsidRPr="00A03990" w14:paraId="70518BE2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4300B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422EF" w14:textId="7670C44C" w:rsidR="004A7B9D" w:rsidRPr="00142D09" w:rsidRDefault="004A7B9D" w:rsidP="0007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(-0,00)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D1E49" w14:textId="5F277D5C" w:rsidR="004A7B9D" w:rsidRPr="00142D09" w:rsidRDefault="004A7B9D" w:rsidP="0007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(-0,00)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FD346" w14:textId="0901260A" w:rsidR="004A7B9D" w:rsidRPr="00142D09" w:rsidRDefault="004A7B9D" w:rsidP="0007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90ED4" w14:textId="0C1D0B87" w:rsidR="004A7B9D" w:rsidRPr="00142D09" w:rsidRDefault="004A7B9D" w:rsidP="0007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AB229" w14:textId="514FEEDE" w:rsidR="004A7B9D" w:rsidRPr="00142D09" w:rsidRDefault="004A7B9D" w:rsidP="0007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(-0,00)</w:t>
            </w:r>
          </w:p>
        </w:tc>
      </w:tr>
      <w:tr w:rsidR="004A7B9D" w:rsidRPr="00A03990" w14:paraId="23883C57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057C3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Taxa de mobilidade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394A8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0,22***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AA914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0,17**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53903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0,21***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8EC46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0,18**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D1E82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0,19**</w:t>
            </w:r>
          </w:p>
        </w:tc>
      </w:tr>
      <w:tr w:rsidR="004A7B9D" w:rsidRPr="00A03990" w14:paraId="0BE1C07F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FAAA6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2825E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(-0,06)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FFE62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(-0,08)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EABD9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39128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45F88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(-0,08)</w:t>
            </w:r>
          </w:p>
        </w:tc>
      </w:tr>
      <w:tr w:rsidR="004A7B9D" w:rsidRPr="00A03990" w14:paraId="096DA4D8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284AD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Constante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8D80E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-0,03*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590FE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0,03*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81626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-0,04**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67A48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E0B20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0,03*</w:t>
            </w:r>
          </w:p>
        </w:tc>
      </w:tr>
      <w:tr w:rsidR="004A7B9D" w:rsidRPr="00A03990" w14:paraId="377DC4C9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99A41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7F9AC2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(-0,02)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60FAF0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(-0,02)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87A9B3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85E9B5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6388A3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(-0,02)</w:t>
            </w:r>
          </w:p>
        </w:tc>
      </w:tr>
      <w:tr w:rsidR="004A7B9D" w:rsidRPr="00A03990" w14:paraId="06F3E6D4" w14:textId="77777777" w:rsidTr="00142D09">
        <w:trPr>
          <w:trHeight w:val="20"/>
        </w:trPr>
        <w:tc>
          <w:tcPr>
            <w:tcW w:w="2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31840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Observações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64928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5.362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171C0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5.362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5B415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5.362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A6199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5.362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EE780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5.362</w:t>
            </w:r>
          </w:p>
        </w:tc>
      </w:tr>
      <w:tr w:rsidR="004A7B9D" w:rsidRPr="00A03990" w14:paraId="57512E62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B17E0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Número de </w:t>
            </w:r>
            <w:proofErr w:type="spellStart"/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Regics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FC371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474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9A271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474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97B1A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47B2C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621F4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474</w:t>
            </w:r>
          </w:p>
        </w:tc>
      </w:tr>
      <w:tr w:rsidR="004A7B9D" w:rsidRPr="00A03990" w14:paraId="2663E818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D4DE6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Dummy de ano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26AC3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SIM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69E7E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SIM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B37F1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SIM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DEF2C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SIM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D1D90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SIM</w:t>
            </w:r>
          </w:p>
        </w:tc>
      </w:tr>
      <w:tr w:rsidR="004A7B9D" w:rsidRPr="00A03990" w14:paraId="3C99B710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B9ED5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Grupos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94178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474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18E9C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482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8AD5F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FDFEA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DFC01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482</w:t>
            </w:r>
          </w:p>
        </w:tc>
      </w:tr>
      <w:tr w:rsidR="004A7B9D" w:rsidRPr="00A03990" w14:paraId="62298894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0AEA9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Instrumentos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97F08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B36A3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BF829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C1AC7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C34FC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68</w:t>
            </w:r>
          </w:p>
        </w:tc>
      </w:tr>
      <w:tr w:rsidR="004A7B9D" w:rsidRPr="00A03990" w14:paraId="70FC9F09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9784B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AR1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8CFFA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0,007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F980B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0,007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898E4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E33D3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70D0F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0,007</w:t>
            </w:r>
          </w:p>
        </w:tc>
      </w:tr>
      <w:tr w:rsidR="004A7B9D" w:rsidRPr="00A03990" w14:paraId="257CC1F7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E0B04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AR2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95DE9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0,495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49C19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0,481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52681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2D7E9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1F691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0,484</w:t>
            </w:r>
          </w:p>
        </w:tc>
      </w:tr>
      <w:tr w:rsidR="004A7B9D" w:rsidRPr="00A03990" w14:paraId="62591823" w14:textId="77777777" w:rsidTr="00142D09">
        <w:trPr>
          <w:trHeight w:val="20"/>
        </w:trPr>
        <w:tc>
          <w:tcPr>
            <w:tcW w:w="290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29D76E" w14:textId="77777777" w:rsidR="004A7B9D" w:rsidRPr="00142D09" w:rsidRDefault="004A7B9D" w:rsidP="004F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Teste Sargan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3A615D" w14:textId="77777777" w:rsidR="004A7B9D" w:rsidRPr="00142D09" w:rsidRDefault="004A7B9D" w:rsidP="006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0,668</w:t>
            </w:r>
          </w:p>
        </w:tc>
        <w:tc>
          <w:tcPr>
            <w:tcW w:w="111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B614C9" w14:textId="77777777" w:rsidR="004A7B9D" w:rsidRPr="00142D09" w:rsidRDefault="004A7B9D" w:rsidP="004B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0,999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48415B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0,912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000DD5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0,999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1F930B" w14:textId="77777777" w:rsidR="004A7B9D" w:rsidRPr="00142D09" w:rsidRDefault="004A7B9D" w:rsidP="008A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42D09">
              <w:rPr>
                <w:rFonts w:ascii="Times New Roman" w:eastAsia="Times New Roman" w:hAnsi="Times New Roman"/>
                <w:color w:val="000000"/>
                <w:lang w:eastAsia="pt-BR"/>
              </w:rPr>
              <w:t>0,674</w:t>
            </w:r>
          </w:p>
        </w:tc>
      </w:tr>
    </w:tbl>
    <w:p w14:paraId="0EFFDC65" w14:textId="77777777" w:rsidR="004A7B9D" w:rsidRDefault="004A7B9D" w:rsidP="004F0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545953">
        <w:rPr>
          <w:rFonts w:ascii="Times New Roman" w:hAnsi="Times New Roman"/>
          <w:sz w:val="20"/>
          <w:szCs w:val="20"/>
        </w:rPr>
        <w:t>Erros padrões nos parênteses</w:t>
      </w:r>
      <w:r>
        <w:rPr>
          <w:rFonts w:ascii="Times New Roman" w:hAnsi="Times New Roman"/>
          <w:sz w:val="20"/>
          <w:szCs w:val="20"/>
        </w:rPr>
        <w:t>; 2) *** p&lt;0,01; ** p&lt;0,05; * p&lt;0,</w:t>
      </w:r>
      <w:r w:rsidRPr="00545953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; 3) L. é o operador de defasagem temporal</w:t>
      </w:r>
      <w:r w:rsidRPr="00313661">
        <w:rPr>
          <w:rFonts w:ascii="Times New Roman" w:hAnsi="Times New Roman"/>
          <w:sz w:val="20"/>
          <w:szCs w:val="20"/>
        </w:rPr>
        <w:t xml:space="preserve"> </w:t>
      </w:r>
    </w:p>
    <w:p w14:paraId="08B6D4D4" w14:textId="77777777" w:rsidR="004A7B9D" w:rsidRDefault="004A7B9D" w:rsidP="006D4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Fonte: elaboração dos autores</w:t>
      </w:r>
    </w:p>
    <w:p w14:paraId="4564F196" w14:textId="77777777" w:rsidR="00834728" w:rsidRPr="00DA70B2" w:rsidRDefault="00834728" w:rsidP="006D4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1BA0EF" w14:textId="03B8A874" w:rsidR="003D02BC" w:rsidRPr="00C01E4C" w:rsidRDefault="00553E68" w:rsidP="00C01E4C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01E4C">
        <w:rPr>
          <w:rFonts w:ascii="Times New Roman" w:eastAsia="Times New Roman" w:hAnsi="Times New Roman"/>
          <w:b/>
          <w:sz w:val="24"/>
          <w:szCs w:val="24"/>
        </w:rPr>
        <w:t>CONCLUSÕES</w:t>
      </w:r>
    </w:p>
    <w:p w14:paraId="3AEC166F" w14:textId="4FAA419D" w:rsidR="002B0076" w:rsidRDefault="00C17676" w:rsidP="008A26E4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 principal objetivo desse trabalho foi estimar os impactos das externalidades de trabalho</w:t>
      </w:r>
      <w:r w:rsidR="002B0076">
        <w:rPr>
          <w:rFonts w:ascii="Times New Roman" w:eastAsia="Times New Roman" w:hAnsi="Times New Roman"/>
          <w:sz w:val="24"/>
          <w:szCs w:val="24"/>
        </w:rPr>
        <w:t>, capturada por meio da mobilidade de mão de obra qualificada,</w:t>
      </w:r>
      <w:r>
        <w:rPr>
          <w:rFonts w:ascii="Times New Roman" w:eastAsia="Times New Roman" w:hAnsi="Times New Roman"/>
          <w:sz w:val="24"/>
          <w:szCs w:val="24"/>
        </w:rPr>
        <w:t xml:space="preserve"> no crescimento regional brasileiro</w:t>
      </w:r>
      <w:r w:rsidR="008518FC">
        <w:rPr>
          <w:rFonts w:ascii="Times New Roman" w:eastAsia="Times New Roman" w:hAnsi="Times New Roman"/>
          <w:sz w:val="24"/>
          <w:szCs w:val="24"/>
        </w:rPr>
        <w:t>,</w:t>
      </w:r>
      <w:r w:rsidR="0083563E">
        <w:rPr>
          <w:rFonts w:ascii="Times New Roman" w:eastAsia="Times New Roman" w:hAnsi="Times New Roman"/>
          <w:sz w:val="24"/>
          <w:szCs w:val="24"/>
        </w:rPr>
        <w:t xml:space="preserve"> para os anos de 1996 até 2008</w:t>
      </w:r>
      <w:r w:rsidR="00896440">
        <w:rPr>
          <w:rFonts w:ascii="Times New Roman" w:eastAsia="Times New Roman" w:hAnsi="Times New Roman"/>
          <w:sz w:val="24"/>
          <w:szCs w:val="24"/>
        </w:rPr>
        <w:t>.</w:t>
      </w:r>
      <w:r w:rsidR="006D4C0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9B30004" w14:textId="439EAFEF" w:rsidR="0010768C" w:rsidRDefault="00896440" w:rsidP="008A26E4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Uma das principais contribuições desse trabalho </w:t>
      </w:r>
      <w:r w:rsidR="002B0076">
        <w:rPr>
          <w:rFonts w:ascii="Times New Roman" w:eastAsia="Times New Roman" w:hAnsi="Times New Roman"/>
          <w:sz w:val="24"/>
          <w:szCs w:val="24"/>
        </w:rPr>
        <w:t xml:space="preserve">foi fazer uma diferenciação dos fluxos de mobilidade em inter-regional e intrarregional, além de diferenciar os tipos de conhecimentos adquiridos </w:t>
      </w:r>
      <w:r w:rsidR="008518FC">
        <w:rPr>
          <w:rFonts w:ascii="Times New Roman" w:eastAsia="Times New Roman" w:hAnsi="Times New Roman"/>
          <w:sz w:val="24"/>
          <w:szCs w:val="24"/>
        </w:rPr>
        <w:t>através</w:t>
      </w:r>
      <w:r w:rsidR="002B0076">
        <w:rPr>
          <w:rFonts w:ascii="Times New Roman" w:eastAsia="Times New Roman" w:hAnsi="Times New Roman"/>
          <w:sz w:val="24"/>
          <w:szCs w:val="24"/>
        </w:rPr>
        <w:t xml:space="preserve"> da mobilidade de indivíduos por meio de graus de especialização, variedade relacionada e não relacionada. </w:t>
      </w:r>
      <w:r w:rsidR="008518FC">
        <w:rPr>
          <w:rFonts w:ascii="Times New Roman" w:eastAsia="Times New Roman" w:hAnsi="Times New Roman"/>
          <w:sz w:val="24"/>
          <w:szCs w:val="24"/>
        </w:rPr>
        <w:t>Levando em conta essas</w:t>
      </w:r>
      <w:r w:rsidR="002B0076">
        <w:rPr>
          <w:rFonts w:ascii="Times New Roman" w:eastAsia="Times New Roman" w:hAnsi="Times New Roman"/>
          <w:sz w:val="24"/>
          <w:szCs w:val="24"/>
        </w:rPr>
        <w:t xml:space="preserve"> diferenciações é possível analisar de forma mais precisa de que modo a migração de indivíduos qualificados afeta o crescimento da região de destino. Até o conhecimento dos autores não existem trabalhos brasileiros que possuam abordagem semelhante. </w:t>
      </w:r>
    </w:p>
    <w:p w14:paraId="335F51A0" w14:textId="129AE6F5" w:rsidR="008D1CC6" w:rsidRDefault="008D1CC6" w:rsidP="008A26E4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Os resultados indicaram que a similaridade de conhecimento, capturada por meio do grau de especialização, é o principal impulsionador de crescimento regional, podendo ser utilizado como um indicador de externalidades MAR. Além disso, apenas </w:t>
      </w:r>
      <w:r w:rsidR="00E46A1B">
        <w:rPr>
          <w:rFonts w:ascii="Times New Roman" w:eastAsia="Times New Roman" w:hAnsi="Times New Roman"/>
          <w:sz w:val="24"/>
          <w:szCs w:val="24"/>
        </w:rPr>
        <w:t>o grau de especialização intrarregional apresentou impacto significante no crescimento da taxa de remuneração</w:t>
      </w:r>
      <w:r w:rsidR="00DB04F3">
        <w:rPr>
          <w:rFonts w:ascii="Times New Roman" w:eastAsia="Times New Roman" w:hAnsi="Times New Roman"/>
          <w:sz w:val="24"/>
          <w:szCs w:val="24"/>
        </w:rPr>
        <w:t xml:space="preserve"> provavelmente devido </w:t>
      </w:r>
      <w:r w:rsidR="00FC0528">
        <w:rPr>
          <w:rFonts w:ascii="Times New Roman" w:eastAsia="Times New Roman" w:hAnsi="Times New Roman"/>
          <w:sz w:val="24"/>
          <w:szCs w:val="24"/>
        </w:rPr>
        <w:t>à</w:t>
      </w:r>
      <w:r w:rsidR="00DB04F3">
        <w:rPr>
          <w:rFonts w:ascii="Times New Roman" w:eastAsia="Times New Roman" w:hAnsi="Times New Roman"/>
          <w:sz w:val="24"/>
          <w:szCs w:val="24"/>
        </w:rPr>
        <w:t xml:space="preserve"> ocorrência de inovações incrementais que aumentam a produtividade das regiões.</w:t>
      </w:r>
    </w:p>
    <w:p w14:paraId="1FB52A31" w14:textId="01D2575A" w:rsidR="00D00F0C" w:rsidRDefault="00E46A1B" w:rsidP="008A26E4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Na análise empírica desse trabalho, o conhecimento relacionado não apresentou impacto significante no crescimento regional. Isso é um indício que os setores industriais brasileiros apresentam uma grande distância cognitiva entre si dado que não conseguiram </w:t>
      </w:r>
      <w:r w:rsidR="008518FC">
        <w:rPr>
          <w:rFonts w:ascii="Times New Roman" w:eastAsia="Times New Roman" w:hAnsi="Times New Roman"/>
          <w:sz w:val="24"/>
          <w:szCs w:val="24"/>
        </w:rPr>
        <w:t>aproveitar</w:t>
      </w:r>
      <w:r>
        <w:rPr>
          <w:rFonts w:ascii="Times New Roman" w:eastAsia="Times New Roman" w:hAnsi="Times New Roman"/>
          <w:sz w:val="24"/>
          <w:szCs w:val="24"/>
        </w:rPr>
        <w:t xml:space="preserve"> o conhecimento advindo da mobilidade de mão de obra</w:t>
      </w:r>
      <w:r w:rsidR="00D00F0C">
        <w:rPr>
          <w:rFonts w:ascii="Times New Roman" w:eastAsia="Times New Roman" w:hAnsi="Times New Roman"/>
          <w:sz w:val="24"/>
          <w:szCs w:val="24"/>
        </w:rPr>
        <w:t xml:space="preserve"> oriunda de outr</w:t>
      </w:r>
      <w:r w:rsidR="00FC0528">
        <w:rPr>
          <w:rFonts w:ascii="Times New Roman" w:eastAsia="Times New Roman" w:hAnsi="Times New Roman"/>
          <w:sz w:val="24"/>
          <w:szCs w:val="24"/>
        </w:rPr>
        <w:t>o</w:t>
      </w:r>
      <w:r w:rsidR="00D00F0C">
        <w:rPr>
          <w:rFonts w:ascii="Times New Roman" w:eastAsia="Times New Roman" w:hAnsi="Times New Roman"/>
          <w:sz w:val="24"/>
          <w:szCs w:val="24"/>
        </w:rPr>
        <w:t>s setores a quatro dígitos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D00F0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9095FA9" w14:textId="155FFF1D" w:rsidR="00FF0BFA" w:rsidRPr="00872006" w:rsidRDefault="008518FC" w:rsidP="00D00F0C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D00F0C">
        <w:rPr>
          <w:rFonts w:ascii="Times New Roman" w:eastAsia="Times New Roman" w:hAnsi="Times New Roman"/>
          <w:sz w:val="24"/>
          <w:szCs w:val="24"/>
        </w:rPr>
        <w:t>ode-se afirmar</w:t>
      </w:r>
      <w:r>
        <w:rPr>
          <w:rFonts w:ascii="Times New Roman" w:eastAsia="Times New Roman" w:hAnsi="Times New Roman"/>
          <w:sz w:val="24"/>
          <w:szCs w:val="24"/>
        </w:rPr>
        <w:t>, portanto,</w:t>
      </w:r>
      <w:r w:rsidR="00D00F0C">
        <w:rPr>
          <w:rFonts w:ascii="Times New Roman" w:eastAsia="Times New Roman" w:hAnsi="Times New Roman"/>
          <w:sz w:val="24"/>
          <w:szCs w:val="24"/>
        </w:rPr>
        <w:t xml:space="preserve"> que o transbordamento de conhecimento no Brasil apresenta um caráter local,</w:t>
      </w:r>
      <w:r w:rsidR="00FC0528">
        <w:rPr>
          <w:rFonts w:ascii="Times New Roman" w:eastAsia="Times New Roman" w:hAnsi="Times New Roman"/>
          <w:sz w:val="24"/>
          <w:szCs w:val="24"/>
        </w:rPr>
        <w:t xml:space="preserve"> pois</w:t>
      </w:r>
      <w:r w:rsidR="00D00F0C">
        <w:rPr>
          <w:rFonts w:ascii="Times New Roman" w:eastAsia="Times New Roman" w:hAnsi="Times New Roman"/>
          <w:sz w:val="24"/>
          <w:szCs w:val="24"/>
        </w:rPr>
        <w:t xml:space="preserve"> apenas a mobilidade </w:t>
      </w:r>
      <w:r>
        <w:rPr>
          <w:rFonts w:ascii="Times New Roman" w:eastAsia="Times New Roman" w:hAnsi="Times New Roman"/>
          <w:sz w:val="24"/>
          <w:szCs w:val="24"/>
        </w:rPr>
        <w:t xml:space="preserve">dentro do </w:t>
      </w:r>
      <w:r w:rsidR="00D00F0C">
        <w:rPr>
          <w:rFonts w:ascii="Times New Roman" w:eastAsia="Times New Roman" w:hAnsi="Times New Roman"/>
          <w:sz w:val="24"/>
          <w:szCs w:val="24"/>
        </w:rPr>
        <w:t xml:space="preserve">mesmo setor e mesma </w:t>
      </w:r>
      <w:r>
        <w:rPr>
          <w:rFonts w:ascii="Times New Roman" w:eastAsia="Times New Roman" w:hAnsi="Times New Roman"/>
          <w:sz w:val="24"/>
          <w:szCs w:val="24"/>
        </w:rPr>
        <w:t xml:space="preserve">região </w:t>
      </w:r>
      <w:r w:rsidR="00D00F0C">
        <w:rPr>
          <w:rFonts w:ascii="Times New Roman" w:eastAsia="Times New Roman" w:hAnsi="Times New Roman"/>
          <w:sz w:val="24"/>
          <w:szCs w:val="24"/>
        </w:rPr>
        <w:t>apresentou impacto no crescimento regional. Dito isso,</w:t>
      </w:r>
      <w:r w:rsidR="00872006">
        <w:rPr>
          <w:rFonts w:ascii="Times New Roman" w:eastAsia="Times New Roman" w:hAnsi="Times New Roman"/>
          <w:sz w:val="24"/>
          <w:szCs w:val="24"/>
        </w:rPr>
        <w:t xml:space="preserve"> </w:t>
      </w:r>
      <w:r w:rsidR="00D00F0C">
        <w:rPr>
          <w:rFonts w:ascii="Times New Roman" w:eastAsia="Times New Roman" w:hAnsi="Times New Roman"/>
          <w:sz w:val="24"/>
          <w:szCs w:val="24"/>
        </w:rPr>
        <w:t xml:space="preserve">é </w:t>
      </w:r>
      <w:r w:rsidR="00872006">
        <w:rPr>
          <w:rFonts w:ascii="Times New Roman" w:eastAsia="Times New Roman" w:hAnsi="Times New Roman"/>
          <w:sz w:val="24"/>
          <w:szCs w:val="24"/>
        </w:rPr>
        <w:t xml:space="preserve">necessário a criação de políticas que busquem diminuir a distância cognitiva entre os setores, como o aumento de investimento </w:t>
      </w:r>
      <w:r>
        <w:rPr>
          <w:rFonts w:ascii="Times New Roman" w:eastAsia="Times New Roman" w:hAnsi="Times New Roman"/>
          <w:sz w:val="24"/>
          <w:szCs w:val="24"/>
        </w:rPr>
        <w:t xml:space="preserve">em </w:t>
      </w:r>
      <w:r w:rsidR="00872006">
        <w:rPr>
          <w:rFonts w:ascii="Times New Roman" w:eastAsia="Times New Roman" w:hAnsi="Times New Roman"/>
          <w:sz w:val="24"/>
          <w:szCs w:val="24"/>
        </w:rPr>
        <w:t xml:space="preserve">P&amp;D </w:t>
      </w:r>
      <w:r>
        <w:rPr>
          <w:rFonts w:ascii="Times New Roman" w:eastAsia="Times New Roman" w:hAnsi="Times New Roman"/>
          <w:sz w:val="24"/>
          <w:szCs w:val="24"/>
        </w:rPr>
        <w:t xml:space="preserve">nas </w:t>
      </w:r>
      <w:r w:rsidR="00872006">
        <w:rPr>
          <w:rFonts w:ascii="Times New Roman" w:eastAsia="Times New Roman" w:hAnsi="Times New Roman"/>
          <w:sz w:val="24"/>
          <w:szCs w:val="24"/>
        </w:rPr>
        <w:t>firmas</w:t>
      </w:r>
      <w:r w:rsidR="00C01E4C">
        <w:rPr>
          <w:rFonts w:ascii="Times New Roman" w:eastAsia="Times New Roman" w:hAnsi="Times New Roman"/>
          <w:sz w:val="24"/>
          <w:szCs w:val="24"/>
        </w:rPr>
        <w:t>,</w:t>
      </w:r>
      <w:r w:rsidR="0087200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a fim de aumentar seu conhecimento interno e </w:t>
      </w:r>
      <w:r w:rsidR="00872006">
        <w:rPr>
          <w:rFonts w:ascii="Times New Roman" w:eastAsia="Times New Roman" w:hAnsi="Times New Roman"/>
          <w:sz w:val="24"/>
          <w:szCs w:val="24"/>
        </w:rPr>
        <w:t>capacit</w:t>
      </w:r>
      <w:r w:rsidR="00FC0528">
        <w:rPr>
          <w:rFonts w:ascii="Times New Roman" w:eastAsia="Times New Roman" w:hAnsi="Times New Roman"/>
          <w:sz w:val="24"/>
          <w:szCs w:val="24"/>
        </w:rPr>
        <w:t>á</w:t>
      </w:r>
      <w:r w:rsidR="00872006">
        <w:rPr>
          <w:rFonts w:ascii="Times New Roman" w:eastAsia="Times New Roman" w:hAnsi="Times New Roman"/>
          <w:sz w:val="24"/>
          <w:szCs w:val="24"/>
        </w:rPr>
        <w:t>-las a receber de forma mais eficaz a mão de obra qualificada migrante</w:t>
      </w:r>
      <w:r>
        <w:rPr>
          <w:rFonts w:ascii="Times New Roman" w:eastAsia="Times New Roman" w:hAnsi="Times New Roman"/>
          <w:sz w:val="24"/>
          <w:szCs w:val="24"/>
        </w:rPr>
        <w:t xml:space="preserve">. Isso </w:t>
      </w:r>
      <w:r>
        <w:rPr>
          <w:rFonts w:ascii="Times New Roman" w:eastAsia="Times New Roman" w:hAnsi="Times New Roman"/>
          <w:sz w:val="24"/>
          <w:szCs w:val="24"/>
        </w:rPr>
        <w:lastRenderedPageBreak/>
        <w:t>torna-se necessário</w:t>
      </w:r>
      <w:r w:rsidR="00872006">
        <w:rPr>
          <w:rFonts w:ascii="Times New Roman" w:eastAsia="Times New Roman" w:hAnsi="Times New Roman"/>
          <w:sz w:val="24"/>
          <w:szCs w:val="24"/>
        </w:rPr>
        <w:t xml:space="preserve"> pois a similaridade de conhecimento no longo prazo pode causar um efeito de </w:t>
      </w:r>
      <w:proofErr w:type="spellStart"/>
      <w:r w:rsidR="00872006">
        <w:rPr>
          <w:rFonts w:ascii="Times New Roman" w:eastAsia="Times New Roman" w:hAnsi="Times New Roman"/>
          <w:i/>
          <w:sz w:val="24"/>
          <w:szCs w:val="24"/>
        </w:rPr>
        <w:t>lock</w:t>
      </w:r>
      <w:proofErr w:type="spellEnd"/>
      <w:r w:rsidR="00872006">
        <w:rPr>
          <w:rFonts w:ascii="Times New Roman" w:eastAsia="Times New Roman" w:hAnsi="Times New Roman"/>
          <w:i/>
          <w:sz w:val="24"/>
          <w:szCs w:val="24"/>
        </w:rPr>
        <w:t>-in</w:t>
      </w:r>
      <w:r w:rsidR="00872006">
        <w:rPr>
          <w:rFonts w:ascii="Times New Roman" w:eastAsia="Times New Roman" w:hAnsi="Times New Roman"/>
          <w:i/>
          <w:sz w:val="24"/>
          <w:szCs w:val="24"/>
        </w:rPr>
        <w:softHyphen/>
      </w:r>
      <w:r w:rsidR="001B3582">
        <w:rPr>
          <w:rFonts w:ascii="Times New Roman" w:eastAsia="Times New Roman" w:hAnsi="Times New Roman"/>
          <w:sz w:val="24"/>
          <w:szCs w:val="24"/>
        </w:rPr>
        <w:t xml:space="preserve"> onde nenhum novo conhecimento é gerado.</w:t>
      </w:r>
      <w:r w:rsidR="0087200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3709E7F" w14:textId="27FB8D31" w:rsidR="00AC2F97" w:rsidRDefault="00AC23B4" w:rsidP="007B4599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Os mapas de externalidade de trabalho intrarregional mostra</w:t>
      </w:r>
      <w:r w:rsidR="0021631C"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 que o grau de especialização é o mais homogêneo e intenso que os demais. </w:t>
      </w:r>
      <w:r w:rsidR="00770069">
        <w:rPr>
          <w:rFonts w:ascii="Times New Roman" w:eastAsia="Times New Roman" w:hAnsi="Times New Roman"/>
          <w:sz w:val="24"/>
          <w:szCs w:val="24"/>
        </w:rPr>
        <w:t>Isso i</w:t>
      </w:r>
      <w:r>
        <w:rPr>
          <w:rFonts w:ascii="Times New Roman" w:eastAsia="Times New Roman" w:hAnsi="Times New Roman"/>
          <w:sz w:val="24"/>
          <w:szCs w:val="24"/>
        </w:rPr>
        <w:t xml:space="preserve">ndica que as </w:t>
      </w:r>
      <w:r w:rsidR="00770069">
        <w:rPr>
          <w:rFonts w:ascii="Times New Roman" w:eastAsia="Times New Roman" w:hAnsi="Times New Roman"/>
          <w:sz w:val="24"/>
          <w:szCs w:val="24"/>
        </w:rPr>
        <w:t>regiões</w:t>
      </w:r>
      <w:r>
        <w:rPr>
          <w:rFonts w:ascii="Times New Roman" w:eastAsia="Times New Roman" w:hAnsi="Times New Roman"/>
          <w:sz w:val="24"/>
          <w:szCs w:val="24"/>
        </w:rPr>
        <w:t xml:space="preserve"> brasileiras tendem a manter indivíduos qualificados atuando nos mesmos setores.</w:t>
      </w:r>
      <w:r w:rsidR="001B3582">
        <w:rPr>
          <w:rFonts w:ascii="Times New Roman" w:eastAsia="Times New Roman" w:hAnsi="Times New Roman"/>
          <w:sz w:val="24"/>
          <w:szCs w:val="24"/>
        </w:rPr>
        <w:t xml:space="preserve"> </w:t>
      </w:r>
      <w:r w:rsidR="00AC2F97">
        <w:rPr>
          <w:rFonts w:ascii="Times New Roman" w:eastAsia="Times New Roman" w:hAnsi="Times New Roman"/>
          <w:sz w:val="24"/>
          <w:szCs w:val="24"/>
        </w:rPr>
        <w:t>Enquanto nos mapas de externalidade de trabalho inter-regional, a variedade de conhecimento é mais intensa que a similaridade, em outras palavras, os indivíduos ao migrar de região tendem também a mudar de setor a quatro dígitos.</w:t>
      </w:r>
    </w:p>
    <w:p w14:paraId="27AEF5E0" w14:textId="046500EE" w:rsidR="00C01E4C" w:rsidRDefault="00F745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Para pesquisas futuras é interessante a criação de </w:t>
      </w:r>
      <w:r w:rsidR="00D00F0C">
        <w:rPr>
          <w:rFonts w:ascii="Times New Roman" w:eastAsia="Times New Roman" w:hAnsi="Times New Roman"/>
          <w:sz w:val="24"/>
          <w:szCs w:val="24"/>
        </w:rPr>
        <w:t xml:space="preserve">externalidades de trabalho </w:t>
      </w:r>
      <w:r>
        <w:rPr>
          <w:rFonts w:ascii="Times New Roman" w:eastAsia="Times New Roman" w:hAnsi="Times New Roman"/>
          <w:sz w:val="24"/>
          <w:szCs w:val="24"/>
        </w:rPr>
        <w:t>de mobilidade mão de obra não qualificada</w:t>
      </w:r>
      <w:r w:rsidR="00D00F0C">
        <w:rPr>
          <w:rFonts w:ascii="Times New Roman" w:eastAsia="Times New Roman" w:hAnsi="Times New Roman"/>
          <w:sz w:val="24"/>
          <w:szCs w:val="24"/>
        </w:rPr>
        <w:t xml:space="preserve"> para avaliar se seus impactos no crescimento regional diferem dos utilizados nesse trabalho. Além </w:t>
      </w:r>
      <w:r w:rsidR="00CC7935">
        <w:rPr>
          <w:rFonts w:ascii="Times New Roman" w:eastAsia="Times New Roman" w:hAnsi="Times New Roman"/>
          <w:sz w:val="24"/>
          <w:szCs w:val="24"/>
        </w:rPr>
        <w:t xml:space="preserve">disso, deve-se </w:t>
      </w:r>
      <w:r w:rsidR="00D00F0C">
        <w:rPr>
          <w:rFonts w:ascii="Times New Roman" w:eastAsia="Times New Roman" w:hAnsi="Times New Roman"/>
          <w:sz w:val="24"/>
          <w:szCs w:val="24"/>
        </w:rPr>
        <w:t>utilizar outros métodos para analisar a proximidade cognitiva entre os setores, fora a classificação CNAE.</w:t>
      </w:r>
    </w:p>
    <w:p w14:paraId="31E169A0" w14:textId="77777777" w:rsidR="00DA70B2" w:rsidRPr="000B7C24" w:rsidRDefault="00DA70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1461FB" w14:textId="59297D0B" w:rsidR="004B17F1" w:rsidRPr="00966DED" w:rsidRDefault="00100AC2" w:rsidP="008A26E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00AC2">
        <w:rPr>
          <w:rFonts w:ascii="Times New Roman" w:hAnsi="Times New Roman"/>
          <w:b/>
          <w:sz w:val="24"/>
          <w:szCs w:val="24"/>
          <w:lang w:val="en-US"/>
        </w:rPr>
        <w:t>REFERÊNCIAS</w:t>
      </w:r>
    </w:p>
    <w:p w14:paraId="17FFB227" w14:textId="77777777" w:rsidR="00AD2979" w:rsidRPr="007F2961" w:rsidRDefault="004B17F1" w:rsidP="008A26E4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F296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ARELLANO, M.; BOND, S. Some tests of specification for panel data: Monte Carlo evidence and an application to employment equations.</w:t>
      </w:r>
      <w:r w:rsidRPr="007F2961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7F2961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The review of economic studies</w:t>
      </w:r>
      <w:r w:rsidRPr="007F296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, v. 58, n. 2, p. 277-297, 1991.</w:t>
      </w:r>
    </w:p>
    <w:p w14:paraId="47623F16" w14:textId="77777777" w:rsidR="00AD2979" w:rsidRPr="000373C2" w:rsidRDefault="00AD2979" w:rsidP="004F0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ARROW, K. Economic welfare and the allocation of resources for invention. In:</w:t>
      </w:r>
      <w:r w:rsidRPr="000373C2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0373C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The rate and direction of inventive activity: Economic and social factors</w:t>
      </w: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. Princeton University Press, 1962. p. 609-626.</w:t>
      </w:r>
    </w:p>
    <w:p w14:paraId="0CDE5132" w14:textId="77777777" w:rsidR="00F542A6" w:rsidRDefault="00F542A6" w:rsidP="004F0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</w:p>
    <w:p w14:paraId="1F1AFC52" w14:textId="77777777" w:rsidR="00AD2979" w:rsidRPr="000373C2" w:rsidRDefault="00AD2979" w:rsidP="004F0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ATTARAN, M</w:t>
      </w:r>
      <w:proofErr w:type="gramStart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..</w:t>
      </w:r>
      <w:proofErr w:type="gramEnd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Industrial diversity and economic performance in US areas.</w:t>
      </w:r>
      <w:r w:rsidRPr="000373C2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0373C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The Annals of Regional Science</w:t>
      </w: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, v. 20, n. 2, p. 44-54, 1986.</w:t>
      </w:r>
    </w:p>
    <w:p w14:paraId="47DDA2B0" w14:textId="77777777" w:rsidR="00F542A6" w:rsidRDefault="00F542A6" w:rsidP="006D4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</w:pPr>
    </w:p>
    <w:p w14:paraId="694E9AA5" w14:textId="77777777" w:rsidR="00AD2979" w:rsidRPr="000373C2" w:rsidRDefault="00AD2979" w:rsidP="006D4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r w:rsidRPr="000373C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  <w:t>BOEKER, W. Executive migration and strategic change: The effect of top manager movement on product-market entry. </w:t>
      </w:r>
      <w:r w:rsidRPr="000373C2">
        <w:rPr>
          <w:rFonts w:ascii="Times New Roman" w:eastAsia="Times New Roman" w:hAnsi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Administrative Science Quarterly</w:t>
      </w:r>
      <w:r w:rsidRPr="000373C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  <w:t>, p. 213-236, 1997.</w:t>
      </w:r>
    </w:p>
    <w:p w14:paraId="1CB70445" w14:textId="77777777" w:rsidR="00F542A6" w:rsidRDefault="00F542A6" w:rsidP="004B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</w:p>
    <w:p w14:paraId="078FA960" w14:textId="77777777" w:rsidR="00AD2979" w:rsidRPr="000373C2" w:rsidRDefault="00AD2979" w:rsidP="004B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BOSCHMA, R.; ERIKSSON, R.; LINDGREN, U. How does </w:t>
      </w:r>
      <w:proofErr w:type="spellStart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labour</w:t>
      </w:r>
      <w:proofErr w:type="spellEnd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mobility affect the performance of plants? The importance of relatedness and geographical proximity.</w:t>
      </w:r>
      <w:r w:rsidRPr="000373C2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0373C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Journal of Economic Geography</w:t>
      </w: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, v. 9, n. 2, p. 169-190, 2009.</w:t>
      </w:r>
    </w:p>
    <w:p w14:paraId="342B85BC" w14:textId="77777777" w:rsidR="00F542A6" w:rsidRDefault="00F542A6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</w:pPr>
    </w:p>
    <w:p w14:paraId="2D617DE6" w14:textId="77777777" w:rsidR="00AD2979" w:rsidRPr="000373C2" w:rsidRDefault="00AD2979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r w:rsidRPr="000373C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BOSCHMA, R.; ERIKSSON, R. H.; LINDGREN, U. </w:t>
      </w:r>
      <w:proofErr w:type="spellStart"/>
      <w:r w:rsidRPr="000373C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  <w:t>Labour</w:t>
      </w:r>
      <w:proofErr w:type="spellEnd"/>
      <w:r w:rsidRPr="000373C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market externalities and regional growth in Sweden: the importance of </w:t>
      </w:r>
      <w:proofErr w:type="spellStart"/>
      <w:r w:rsidRPr="000373C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  <w:t>labour</w:t>
      </w:r>
      <w:proofErr w:type="spellEnd"/>
      <w:r w:rsidRPr="000373C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mobility between skill-related industries. </w:t>
      </w:r>
      <w:r w:rsidRPr="000373C2">
        <w:rPr>
          <w:rFonts w:ascii="Times New Roman" w:eastAsia="Times New Roman" w:hAnsi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Regional Studies</w:t>
      </w:r>
      <w:r w:rsidRPr="000373C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  <w:t>, v. 48, n. 10, p. 1669-1690, 2014.</w:t>
      </w:r>
    </w:p>
    <w:p w14:paraId="04B65FC2" w14:textId="77777777" w:rsidR="00F542A6" w:rsidRDefault="00F542A6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</w:p>
    <w:p w14:paraId="1027B8F9" w14:textId="77777777" w:rsidR="006F035A" w:rsidRPr="00966DED" w:rsidRDefault="00AD2979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BOSCHMA, R.; IAMMARINO, S. Related variety, trade linkages, and regional growth in Italy.</w:t>
      </w:r>
      <w:r w:rsidRPr="000373C2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proofErr w:type="spellStart"/>
      <w:r w:rsidR="00100AC2" w:rsidRPr="00100AC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Economic</w:t>
      </w:r>
      <w:proofErr w:type="spellEnd"/>
      <w:r w:rsidR="00100AC2" w:rsidRPr="00100AC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00AC2" w:rsidRPr="00100AC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geography</w:t>
      </w:r>
      <w:proofErr w:type="spellEnd"/>
      <w:r w:rsidR="00100AC2" w:rsidRPr="00100AC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v. 85, n. 3, p. 289-311, 2009.</w:t>
      </w:r>
    </w:p>
    <w:p w14:paraId="63843C83" w14:textId="77777777" w:rsidR="00F542A6" w:rsidRDefault="00F542A6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EFE8D2" w14:textId="77777777" w:rsidR="00AD2979" w:rsidRPr="000373C2" w:rsidRDefault="00AD2979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0373C2">
        <w:rPr>
          <w:rFonts w:ascii="Times New Roman" w:eastAsia="Times New Roman" w:hAnsi="Times New Roman"/>
          <w:sz w:val="24"/>
          <w:szCs w:val="24"/>
        </w:rPr>
        <w:t xml:space="preserve">DA MATA, D.; OLIVEIRA, C. W. A.; PIN, C.; RESENDE, G. </w:t>
      </w:r>
      <w:r w:rsidRPr="000373C2">
        <w:rPr>
          <w:rFonts w:ascii="Times New Roman" w:eastAsia="Times New Roman" w:hAnsi="Times New Roman"/>
          <w:b/>
          <w:bCs/>
          <w:sz w:val="24"/>
          <w:szCs w:val="24"/>
        </w:rPr>
        <w:t>Migração, Qualificação e Desempenho das Cidades</w:t>
      </w:r>
      <w:r w:rsidRPr="000373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373C2">
        <w:rPr>
          <w:rFonts w:ascii="Times New Roman" w:eastAsia="Times New Roman" w:hAnsi="Times New Roman"/>
          <w:b/>
          <w:bCs/>
          <w:sz w:val="24"/>
          <w:szCs w:val="24"/>
        </w:rPr>
        <w:t>Brasileiras</w:t>
      </w:r>
      <w:r w:rsidRPr="000373C2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0373C2">
        <w:rPr>
          <w:rFonts w:ascii="Times New Roman" w:eastAsia="Times New Roman" w:hAnsi="Times New Roman"/>
          <w:sz w:val="24"/>
          <w:szCs w:val="24"/>
          <w:lang w:val="en-US"/>
        </w:rPr>
        <w:t>Dinâmica</w:t>
      </w:r>
      <w:proofErr w:type="spellEnd"/>
      <w:r w:rsidRPr="000373C2">
        <w:rPr>
          <w:rFonts w:ascii="Times New Roman" w:eastAsia="Times New Roman" w:hAnsi="Times New Roman"/>
          <w:sz w:val="24"/>
          <w:szCs w:val="24"/>
          <w:lang w:val="en-US"/>
        </w:rPr>
        <w:t xml:space="preserve"> dos </w:t>
      </w:r>
      <w:proofErr w:type="spellStart"/>
      <w:r w:rsidRPr="000373C2">
        <w:rPr>
          <w:rFonts w:ascii="Times New Roman" w:eastAsia="Times New Roman" w:hAnsi="Times New Roman"/>
          <w:sz w:val="24"/>
          <w:szCs w:val="24"/>
          <w:lang w:val="en-US"/>
        </w:rPr>
        <w:t>Municípios</w:t>
      </w:r>
      <w:proofErr w:type="spellEnd"/>
      <w:r w:rsidRPr="000373C2">
        <w:rPr>
          <w:rFonts w:ascii="Times New Roman" w:eastAsia="Times New Roman" w:hAnsi="Times New Roman"/>
          <w:sz w:val="24"/>
          <w:szCs w:val="24"/>
          <w:lang w:val="en-US"/>
        </w:rPr>
        <w:t>. Brasília: IPEA, 2008, p. 289-322.</w:t>
      </w:r>
    </w:p>
    <w:p w14:paraId="63125FC7" w14:textId="77777777" w:rsidR="00F542A6" w:rsidRDefault="00F542A6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4C39B41" w14:textId="77777777" w:rsidR="00AD2979" w:rsidRPr="000373C2" w:rsidRDefault="00AD2979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0373C2">
        <w:rPr>
          <w:rFonts w:ascii="Times New Roman" w:eastAsia="Times New Roman" w:hAnsi="Times New Roman"/>
          <w:sz w:val="24"/>
          <w:szCs w:val="24"/>
          <w:lang w:val="en-US"/>
        </w:rPr>
        <w:t xml:space="preserve">FAGGIAN, A., MCCANN, P. Human capital, graduate migration and innovation in British regions. </w:t>
      </w:r>
      <w:r w:rsidRPr="000373C2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Cambridge Journal of Economics</w:t>
      </w:r>
      <w:r w:rsidRPr="000373C2">
        <w:rPr>
          <w:rFonts w:ascii="Times New Roman" w:eastAsia="Times New Roman" w:hAnsi="Times New Roman"/>
          <w:sz w:val="24"/>
          <w:szCs w:val="24"/>
          <w:lang w:val="en-US"/>
        </w:rPr>
        <w:t>, v. 33, p. 317–333, 2009.</w:t>
      </w:r>
    </w:p>
    <w:p w14:paraId="0E6146B6" w14:textId="77777777" w:rsidR="00F542A6" w:rsidRDefault="00F542A6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</w:p>
    <w:p w14:paraId="4F27D3B8" w14:textId="77777777" w:rsidR="00AD2979" w:rsidRPr="00AB35EE" w:rsidRDefault="00AD2979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lastRenderedPageBreak/>
        <w:t>FAGGIAN, A.; MCCANN, P.; SHEPPARD, S. Some evidence that women are more mobile than men: gender differences in UK graduate migration behavior.</w:t>
      </w:r>
      <w:r w:rsidRPr="000373C2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0373C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Journal of Regional Science</w:t>
      </w: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, v. 47, n. 3, p. 517-539, 2007.</w:t>
      </w:r>
    </w:p>
    <w:p w14:paraId="52F14E9A" w14:textId="77777777" w:rsidR="00F542A6" w:rsidRDefault="00F542A6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5F22225" w14:textId="77777777" w:rsidR="00AD2979" w:rsidRPr="00AB35EE" w:rsidRDefault="00AD2979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373C2">
        <w:rPr>
          <w:rFonts w:ascii="Times New Roman" w:hAnsi="Times New Roman"/>
          <w:sz w:val="24"/>
          <w:szCs w:val="24"/>
          <w:lang w:val="en-US"/>
        </w:rPr>
        <w:t xml:space="preserve">FELDMAN, M. P. </w:t>
      </w:r>
      <w:r w:rsidRPr="000373C2">
        <w:rPr>
          <w:rFonts w:ascii="Times New Roman" w:hAnsi="Times New Roman"/>
          <w:b/>
          <w:bCs/>
          <w:sz w:val="24"/>
          <w:szCs w:val="24"/>
          <w:lang w:val="en-US"/>
        </w:rPr>
        <w:t>The geography of innovation</w:t>
      </w:r>
      <w:r w:rsidRPr="000373C2">
        <w:rPr>
          <w:rFonts w:ascii="Times New Roman" w:hAnsi="Times New Roman"/>
          <w:sz w:val="24"/>
          <w:szCs w:val="24"/>
          <w:lang w:val="en-US"/>
        </w:rPr>
        <w:t>. Kluwer Academic Publishers, Boston, 1994</w:t>
      </w:r>
    </w:p>
    <w:p w14:paraId="44E262A6" w14:textId="77777777" w:rsidR="00F542A6" w:rsidRDefault="00F542A6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</w:p>
    <w:p w14:paraId="7514B949" w14:textId="77777777" w:rsidR="00AD2979" w:rsidRPr="007B607D" w:rsidRDefault="00AD2979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FELDMAN, M. P.; AUDRETSCH, D. B. Innovation in cities</w:t>
      </w:r>
      <w:proofErr w:type="gramStart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::</w:t>
      </w:r>
      <w:proofErr w:type="gramEnd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Science-based diversity, specialization and localized competition.</w:t>
      </w:r>
      <w:r w:rsidRPr="000373C2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0373C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European economic review</w:t>
      </w: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, v. 43, n. 2, p. 409-429, 1999.</w:t>
      </w:r>
    </w:p>
    <w:p w14:paraId="3BEF4C6D" w14:textId="77777777" w:rsidR="00F542A6" w:rsidRDefault="00F542A6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</w:pPr>
    </w:p>
    <w:p w14:paraId="3715092D" w14:textId="77777777" w:rsidR="00AD2979" w:rsidRPr="000373C2" w:rsidRDefault="00AD2979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r w:rsidRPr="000373C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  <w:t>FRATESI, U. Editorial: The Mobility of High-Skilled Workers–Causes and Consequences. </w:t>
      </w:r>
      <w:r w:rsidRPr="000373C2">
        <w:rPr>
          <w:rFonts w:ascii="Times New Roman" w:eastAsia="Times New Roman" w:hAnsi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Regional Studies</w:t>
      </w:r>
      <w:r w:rsidRPr="000373C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  <w:t>, v. 48, n. 10, p. 1587-1591, 2014.</w:t>
      </w:r>
    </w:p>
    <w:p w14:paraId="6653CE6F" w14:textId="77777777" w:rsidR="00F542A6" w:rsidRDefault="00F542A6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</w:p>
    <w:p w14:paraId="3D0DCD4D" w14:textId="77777777" w:rsidR="00AD2979" w:rsidRPr="00AB35EE" w:rsidRDefault="00AD2979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FRATESI, U.; PERCOCO, M. Selective migration, regional growth and convergence: evidence from Italy.</w:t>
      </w:r>
      <w:r w:rsidRPr="000373C2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0373C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Regional Studies</w:t>
      </w: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, v. 48, n. 10, p. 1650-1668, 2014.</w:t>
      </w:r>
    </w:p>
    <w:p w14:paraId="38235430" w14:textId="77777777" w:rsidR="00F542A6" w:rsidRDefault="00F542A6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</w:p>
    <w:p w14:paraId="5589E787" w14:textId="77777777" w:rsidR="00AD2979" w:rsidRPr="000373C2" w:rsidRDefault="00AD2979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FREGUGLIA, R.; GONÇALVES, E; DA SILVA, E. R. Composition and determinants of the skilled out-migration in the Brazilian formal labor market: A panel data analysis from 1995 to 2006.</w:t>
      </w:r>
      <w:r w:rsidRPr="000373C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Economia</w:t>
      </w: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, v. 15, n. 1, p. 100-117, 2014.</w:t>
      </w:r>
    </w:p>
    <w:p w14:paraId="3E618370" w14:textId="77777777" w:rsidR="00F542A6" w:rsidRDefault="00F542A6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</w:pPr>
    </w:p>
    <w:p w14:paraId="2683F6BE" w14:textId="77777777" w:rsidR="00AD2979" w:rsidRPr="000373C2" w:rsidRDefault="00AD2979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r w:rsidRPr="000373C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  <w:t>FRENKEN, K.; VAN OORT, F.; VERBURG, T. Related variety, unrelated variety and regional economic growth. </w:t>
      </w:r>
      <w:r w:rsidRPr="000373C2">
        <w:rPr>
          <w:rFonts w:ascii="Times New Roman" w:eastAsia="Times New Roman" w:hAnsi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Regional studies</w:t>
      </w:r>
      <w:r w:rsidRPr="000373C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  <w:t>, v. 41, n. 5, p. 685-697, 2007.</w:t>
      </w:r>
    </w:p>
    <w:p w14:paraId="3DFC3CE6" w14:textId="77777777" w:rsidR="00F542A6" w:rsidRDefault="00F542A6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F9DA28D" w14:textId="77777777" w:rsidR="00AD2979" w:rsidRPr="00AB35EE" w:rsidRDefault="00AD2979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373C2">
        <w:rPr>
          <w:rFonts w:ascii="Times New Roman" w:hAnsi="Times New Roman"/>
          <w:sz w:val="24"/>
          <w:szCs w:val="24"/>
          <w:lang w:val="en-US"/>
        </w:rPr>
        <w:t xml:space="preserve">GLAESER, E. L., KALLAL, H., SCHEINKMAN, J.; SHLEIFER, A. Growth in cities, </w:t>
      </w:r>
      <w:r w:rsidRPr="000373C2">
        <w:rPr>
          <w:rFonts w:ascii="Times New Roman" w:hAnsi="Times New Roman"/>
          <w:b/>
          <w:sz w:val="24"/>
          <w:szCs w:val="24"/>
          <w:lang w:val="en-US"/>
        </w:rPr>
        <w:t>Journal of Political Economy</w:t>
      </w:r>
      <w:r w:rsidRPr="000373C2">
        <w:rPr>
          <w:rFonts w:ascii="Times New Roman" w:hAnsi="Times New Roman"/>
          <w:sz w:val="24"/>
          <w:szCs w:val="24"/>
          <w:lang w:val="en-US"/>
        </w:rPr>
        <w:t>, 100, pp. 1126–1152, 1992</w:t>
      </w:r>
    </w:p>
    <w:p w14:paraId="10B91BE6" w14:textId="77777777" w:rsidR="00F542A6" w:rsidRDefault="00F542A6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</w:p>
    <w:p w14:paraId="4D71D8A8" w14:textId="77777777" w:rsidR="00AD2979" w:rsidRPr="000373C2" w:rsidRDefault="00AD2979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HAUG, P. </w:t>
      </w:r>
      <w:proofErr w:type="spellStart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Diversifikation</w:t>
      </w:r>
      <w:proofErr w:type="spellEnd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und </w:t>
      </w:r>
      <w:proofErr w:type="spellStart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regionale</w:t>
      </w:r>
      <w:proofErr w:type="spellEnd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Wirtschafts</w:t>
      </w:r>
      <w:proofErr w:type="spellEnd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-und </w:t>
      </w:r>
      <w:proofErr w:type="spellStart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Beschäftigungsentwicklung</w:t>
      </w:r>
      <w:proofErr w:type="spellEnd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Eine</w:t>
      </w:r>
      <w:proofErr w:type="spellEnd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empirische</w:t>
      </w:r>
      <w:proofErr w:type="spellEnd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Analyse</w:t>
      </w:r>
      <w:proofErr w:type="spellEnd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für</w:t>
      </w:r>
      <w:proofErr w:type="spellEnd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ausgewählte</w:t>
      </w:r>
      <w:proofErr w:type="spellEnd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deutsche </w:t>
      </w:r>
      <w:proofErr w:type="spellStart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Gebiete</w:t>
      </w:r>
      <w:proofErr w:type="spellEnd"/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Pr="000373C2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0373C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Review of Regional Research</w:t>
      </w: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, v. 24, n. 2, p. 177-195, 2004.</w:t>
      </w:r>
    </w:p>
    <w:p w14:paraId="286FFFF4" w14:textId="77777777" w:rsidR="00F542A6" w:rsidRDefault="00F542A6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</w:p>
    <w:p w14:paraId="23919247" w14:textId="77777777" w:rsidR="004B17F1" w:rsidRPr="00C01E4C" w:rsidRDefault="00AD2979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HARTOG, M.; BOSCHMA, R.; SOTARAUTA, M. The impact of related variety on regional employment growth in Finland 1993–2006: high-tech versus medium/low-tech.</w:t>
      </w:r>
      <w:r w:rsidRPr="000373C2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proofErr w:type="spellStart"/>
      <w:r w:rsidR="00100AC2" w:rsidRPr="00C01E4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Industry</w:t>
      </w:r>
      <w:proofErr w:type="spellEnd"/>
      <w:r w:rsidR="00100AC2" w:rsidRPr="00C01E4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00AC2" w:rsidRPr="00C01E4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and</w:t>
      </w:r>
      <w:proofErr w:type="spellEnd"/>
      <w:r w:rsidR="00100AC2" w:rsidRPr="00C01E4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00AC2" w:rsidRPr="00C01E4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Innovation</w:t>
      </w:r>
      <w:proofErr w:type="spellEnd"/>
      <w:r w:rsidR="00100AC2" w:rsidRPr="00C01E4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v. 19, n. 6, p. 459-476, 2012.</w:t>
      </w:r>
    </w:p>
    <w:p w14:paraId="6BBAEC5C" w14:textId="77777777" w:rsidR="00F542A6" w:rsidRDefault="00F542A6" w:rsidP="00FC052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2A58131" w14:textId="77777777" w:rsidR="00AD2979" w:rsidRPr="004E13D6" w:rsidRDefault="004B17F1" w:rsidP="008A26E4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0373C2">
        <w:rPr>
          <w:rFonts w:ascii="Times New Roman" w:hAnsi="Times New Roman"/>
          <w:sz w:val="24"/>
          <w:szCs w:val="24"/>
          <w:shd w:val="clear" w:color="auto" w:fill="FFFFFF"/>
        </w:rPr>
        <w:t xml:space="preserve">IBGE - Instituto Brasileiro de Geografia e Estatística. </w:t>
      </w:r>
      <w:r w:rsidRPr="000373C2">
        <w:rPr>
          <w:rFonts w:ascii="Times New Roman" w:hAnsi="Times New Roman"/>
          <w:b/>
          <w:sz w:val="24"/>
          <w:szCs w:val="24"/>
          <w:shd w:val="clear" w:color="auto" w:fill="FFFFFF"/>
        </w:rPr>
        <w:t>Regiões de influência das cidades 2007</w:t>
      </w:r>
      <w:r w:rsidRPr="000373C2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7F296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Rio de Janeiro, 2008</w:t>
      </w:r>
    </w:p>
    <w:p w14:paraId="4259EEA5" w14:textId="77777777" w:rsidR="00AD2979" w:rsidRPr="004E13D6" w:rsidRDefault="00AD2979" w:rsidP="004F0A28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0373C2">
        <w:rPr>
          <w:rFonts w:ascii="Times New Roman" w:eastAsia="Times New Roman" w:hAnsi="Times New Roman"/>
          <w:sz w:val="24"/>
          <w:szCs w:val="24"/>
          <w:lang w:val="en-US"/>
        </w:rPr>
        <w:t xml:space="preserve">JACOBS, J. The Economy of </w:t>
      </w:r>
      <w:proofErr w:type="spellStart"/>
      <w:r w:rsidRPr="000373C2">
        <w:rPr>
          <w:rFonts w:ascii="Times New Roman" w:eastAsia="Times New Roman" w:hAnsi="Times New Roman"/>
          <w:sz w:val="24"/>
          <w:szCs w:val="24"/>
          <w:lang w:val="en-US"/>
        </w:rPr>
        <w:t>Cities.</w:t>
      </w:r>
      <w:r w:rsidRPr="000373C2">
        <w:rPr>
          <w:rFonts w:ascii="Times New Roman" w:eastAsia="Times New Roman" w:hAnsi="Times New Roman"/>
          <w:b/>
          <w:sz w:val="24"/>
          <w:szCs w:val="24"/>
          <w:lang w:val="en-US"/>
        </w:rPr>
        <w:t>New</w:t>
      </w:r>
      <w:proofErr w:type="spellEnd"/>
      <w:r w:rsidRPr="000373C2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York-United States: Vintage</w:t>
      </w:r>
      <w:r w:rsidRPr="000373C2">
        <w:rPr>
          <w:rFonts w:ascii="Times New Roman" w:eastAsia="Times New Roman" w:hAnsi="Times New Roman"/>
          <w:sz w:val="24"/>
          <w:szCs w:val="24"/>
          <w:lang w:val="en-US"/>
        </w:rPr>
        <w:t>, 1969. 268p.</w:t>
      </w:r>
    </w:p>
    <w:p w14:paraId="0F25127A" w14:textId="77777777" w:rsidR="00AD2979" w:rsidRPr="00AB35EE" w:rsidRDefault="00AD2979" w:rsidP="006D4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/>
          <w:sz w:val="24"/>
          <w:szCs w:val="24"/>
          <w:lang w:val="en-US"/>
        </w:rPr>
      </w:pPr>
      <w:r w:rsidRPr="000373C2">
        <w:rPr>
          <w:rFonts w:ascii="Times New Roman" w:eastAsia="MinionPro-Regular" w:hAnsi="Times New Roman"/>
          <w:sz w:val="24"/>
          <w:szCs w:val="24"/>
          <w:lang w:val="en-US"/>
        </w:rPr>
        <w:t xml:space="preserve">JAFFE A. B.; TRAJTENBERG, M.; HENDERSON. R. “Geographic localization of </w:t>
      </w:r>
      <w:proofErr w:type="spellStart"/>
      <w:r w:rsidRPr="000373C2">
        <w:rPr>
          <w:rFonts w:ascii="Times New Roman" w:eastAsia="MinionPro-Regular" w:hAnsi="Times New Roman"/>
          <w:sz w:val="24"/>
          <w:szCs w:val="24"/>
          <w:lang w:val="en-US"/>
        </w:rPr>
        <w:t>knowledgespillovers</w:t>
      </w:r>
      <w:proofErr w:type="spellEnd"/>
      <w:r w:rsidRPr="000373C2">
        <w:rPr>
          <w:rFonts w:ascii="Times New Roman" w:eastAsia="MinionPro-Regular" w:hAnsi="Times New Roman"/>
          <w:sz w:val="24"/>
          <w:szCs w:val="24"/>
          <w:lang w:val="en-US"/>
        </w:rPr>
        <w:t xml:space="preserve"> as evidenced by patent citations”. </w:t>
      </w:r>
      <w:r w:rsidRPr="007F2961">
        <w:rPr>
          <w:rFonts w:ascii="Times New Roman" w:eastAsia="MinionPro-Regular" w:hAnsi="Times New Roman"/>
          <w:b/>
          <w:iCs/>
          <w:sz w:val="24"/>
          <w:szCs w:val="24"/>
          <w:lang w:val="en-US"/>
        </w:rPr>
        <w:t>Quarterly Journal of Economics</w:t>
      </w:r>
      <w:r w:rsidRPr="007F2961">
        <w:rPr>
          <w:rFonts w:ascii="Times New Roman" w:eastAsia="MinionPro-Regular" w:hAnsi="Times New Roman"/>
          <w:iCs/>
          <w:sz w:val="24"/>
          <w:szCs w:val="24"/>
          <w:lang w:val="en-US"/>
        </w:rPr>
        <w:t>, 1993</w:t>
      </w:r>
      <w:r w:rsidRPr="007F2961">
        <w:rPr>
          <w:rFonts w:ascii="Times New Roman" w:eastAsia="MinionPro-Regular" w:hAnsi="Times New Roman"/>
          <w:sz w:val="24"/>
          <w:szCs w:val="24"/>
          <w:lang w:val="en-US"/>
        </w:rPr>
        <w:t xml:space="preserve"> v. 108, n. 3, p. 577-598.</w:t>
      </w:r>
    </w:p>
    <w:p w14:paraId="41FB1D74" w14:textId="77777777" w:rsidR="00F542A6" w:rsidRDefault="00F542A6" w:rsidP="004B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C428054" w14:textId="77777777" w:rsidR="00AD2979" w:rsidRPr="007161CC" w:rsidRDefault="00AD2979" w:rsidP="004B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r w:rsidRPr="000373C2">
        <w:rPr>
          <w:rFonts w:ascii="Times New Roman" w:hAnsi="Times New Roman"/>
          <w:sz w:val="24"/>
          <w:szCs w:val="24"/>
          <w:lang w:val="en-US"/>
        </w:rPr>
        <w:t xml:space="preserve">KRUGMAN, P. </w:t>
      </w:r>
      <w:r w:rsidRPr="000373C2">
        <w:rPr>
          <w:rFonts w:ascii="Times New Roman" w:hAnsi="Times New Roman"/>
          <w:b/>
          <w:bCs/>
          <w:sz w:val="24"/>
          <w:szCs w:val="24"/>
          <w:lang w:val="en-US"/>
        </w:rPr>
        <w:t>Geography and Trade</w:t>
      </w:r>
      <w:r w:rsidRPr="000373C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00AC2" w:rsidRPr="00100AC2">
        <w:rPr>
          <w:rFonts w:ascii="Times New Roman" w:hAnsi="Times New Roman"/>
          <w:sz w:val="24"/>
          <w:szCs w:val="24"/>
          <w:lang w:val="en-US"/>
        </w:rPr>
        <w:t>MIT Press, Cambridge MA, 1991</w:t>
      </w:r>
    </w:p>
    <w:p w14:paraId="3E41DE39" w14:textId="77777777" w:rsidR="00AD2979" w:rsidRPr="00AB35EE" w:rsidRDefault="00AD2979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r w:rsidRPr="000373C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LUCAS, R. E. On the mechanics of economic development. </w:t>
      </w:r>
      <w:r w:rsidRPr="000373C2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val="en-US"/>
        </w:rPr>
        <w:t>Journal of Monetary Economics</w:t>
      </w:r>
      <w:r w:rsidRPr="000373C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/>
        </w:rPr>
        <w:t>, 22, 1988, pp. 3-42</w:t>
      </w:r>
    </w:p>
    <w:p w14:paraId="59A5D3E4" w14:textId="77777777" w:rsidR="00F542A6" w:rsidRPr="00C01E4C" w:rsidRDefault="00F542A6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FF70406" w14:textId="77777777" w:rsidR="00AD2979" w:rsidRPr="00AB35EE" w:rsidRDefault="00AD2979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373C2">
        <w:rPr>
          <w:rFonts w:ascii="Times New Roman" w:eastAsia="Times New Roman" w:hAnsi="Times New Roman"/>
          <w:sz w:val="24"/>
          <w:szCs w:val="24"/>
        </w:rPr>
        <w:t xml:space="preserve">MARSHALL, A. </w:t>
      </w:r>
      <w:r w:rsidRPr="000373C2">
        <w:rPr>
          <w:rFonts w:ascii="Times New Roman" w:eastAsia="Times New Roman" w:hAnsi="Times New Roman"/>
          <w:b/>
          <w:sz w:val="24"/>
          <w:szCs w:val="24"/>
        </w:rPr>
        <w:t xml:space="preserve">Princípios de economia. </w:t>
      </w:r>
      <w:r w:rsidR="00C72DBE" w:rsidRPr="001A3567">
        <w:rPr>
          <w:rFonts w:ascii="Times New Roman" w:eastAsia="Times New Roman" w:hAnsi="Times New Roman"/>
          <w:sz w:val="24"/>
          <w:szCs w:val="24"/>
        </w:rPr>
        <w:t>São Paulo: Nova Cultural, 1920</w:t>
      </w:r>
    </w:p>
    <w:p w14:paraId="478184DA" w14:textId="77777777" w:rsidR="00F542A6" w:rsidRDefault="00F542A6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426259C8" w14:textId="77777777" w:rsidR="00AD2979" w:rsidRPr="0092267E" w:rsidRDefault="00AD2979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C01E4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lastRenderedPageBreak/>
        <w:t>Ó HUALLACHÁIN, B.; LEE, Der-</w:t>
      </w:r>
      <w:proofErr w:type="spellStart"/>
      <w:r w:rsidRPr="00C01E4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Shiuan</w:t>
      </w:r>
      <w:proofErr w:type="spellEnd"/>
      <w:r w:rsidRPr="00C01E4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 </w:t>
      </w: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Technological specialization and variety in urban invention.</w:t>
      </w:r>
      <w:r w:rsidRPr="000373C2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92267E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Regional </w:t>
      </w:r>
      <w:proofErr w:type="spellStart"/>
      <w:r w:rsidRPr="0092267E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studies</w:t>
      </w:r>
      <w:proofErr w:type="spellEnd"/>
      <w:r w:rsidRPr="0092267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v. 45, n. 1, p. 67-88, 2011.</w:t>
      </w:r>
    </w:p>
    <w:p w14:paraId="49BEA91F" w14:textId="77777777" w:rsidR="00F542A6" w:rsidRPr="0092267E" w:rsidRDefault="00F542A6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14:paraId="78B56E90" w14:textId="77777777" w:rsidR="00AD2979" w:rsidRPr="00966DED" w:rsidRDefault="00AD2979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373C2">
        <w:rPr>
          <w:rFonts w:ascii="Times New Roman" w:eastAsia="Times New Roman" w:hAnsi="Times New Roman"/>
          <w:sz w:val="24"/>
          <w:szCs w:val="24"/>
        </w:rPr>
        <w:t xml:space="preserve">SABBADINI, R.; AZZONI, C.R. Migração interestadual de pessoal altamente educado: Evidências sobre a fuga de cérebros. </w:t>
      </w:r>
      <w:r w:rsidR="00100AC2" w:rsidRPr="00100AC2">
        <w:rPr>
          <w:rFonts w:ascii="Times New Roman" w:eastAsia="Times New Roman" w:hAnsi="Times New Roman"/>
          <w:b/>
          <w:bCs/>
          <w:sz w:val="24"/>
          <w:szCs w:val="24"/>
        </w:rPr>
        <w:t>Anais do XXXIV Encontro Nacional de Economia</w:t>
      </w:r>
      <w:r w:rsidR="00100AC2" w:rsidRPr="00100AC2">
        <w:rPr>
          <w:rFonts w:ascii="Times New Roman" w:eastAsia="Times New Roman" w:hAnsi="Times New Roman"/>
          <w:sz w:val="24"/>
          <w:szCs w:val="24"/>
        </w:rPr>
        <w:t>, 2006.</w:t>
      </w:r>
    </w:p>
    <w:p w14:paraId="4ED2870C" w14:textId="77777777" w:rsidR="00F542A6" w:rsidRDefault="00F542A6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de-DE"/>
        </w:rPr>
      </w:pPr>
    </w:p>
    <w:p w14:paraId="635F77C8" w14:textId="77777777" w:rsidR="00AD2979" w:rsidRPr="00AB35EE" w:rsidRDefault="00100AC2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r w:rsidRPr="008A26E4">
        <w:rPr>
          <w:rFonts w:ascii="Times New Roman" w:hAnsi="Times New Roman"/>
          <w:color w:val="222222"/>
          <w:sz w:val="24"/>
          <w:szCs w:val="24"/>
          <w:shd w:val="clear" w:color="auto" w:fill="FFFFFF"/>
          <w:lang w:val="de-DE"/>
        </w:rPr>
        <w:t>SAXENIAN, A.</w:t>
      </w:r>
      <w:r w:rsidRPr="008A26E4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de-DE"/>
        </w:rPr>
        <w:t> </w:t>
      </w:r>
      <w:r w:rsidRPr="008A26E4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de-DE"/>
        </w:rPr>
        <w:t>Regional advantage</w:t>
      </w:r>
      <w:r w:rsidRPr="008A26E4">
        <w:rPr>
          <w:rFonts w:ascii="Times New Roman" w:hAnsi="Times New Roman"/>
          <w:color w:val="222222"/>
          <w:sz w:val="24"/>
          <w:szCs w:val="24"/>
          <w:shd w:val="clear" w:color="auto" w:fill="FFFFFF"/>
          <w:lang w:val="de-DE"/>
        </w:rPr>
        <w:t xml:space="preserve">. </w:t>
      </w:r>
      <w:r w:rsidR="00AD2979"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Harvard University Press, 1994.</w:t>
      </w:r>
    </w:p>
    <w:p w14:paraId="7D93A7C1" w14:textId="77777777" w:rsidR="00F542A6" w:rsidRDefault="00F542A6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</w:p>
    <w:p w14:paraId="60831C08" w14:textId="77777777" w:rsidR="00AD2979" w:rsidRDefault="00AD2979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SIMONEN, J.; SVENTO, R.; MCCANN, P. The regional and sectoral mobility of high-tech workers: insights from Finland.</w:t>
      </w:r>
      <w:r w:rsidRPr="000373C2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0373C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The Annals of Regional Science</w:t>
      </w: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, p. 1-28, 2016.</w:t>
      </w:r>
    </w:p>
    <w:p w14:paraId="42F97EB4" w14:textId="77777777" w:rsidR="006C5BFD" w:rsidRPr="00AB35EE" w:rsidRDefault="006C5BFD" w:rsidP="008A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BCE2760" w14:textId="15D20D78" w:rsidR="003F7E14" w:rsidRPr="001B13C5" w:rsidRDefault="00AD2979" w:rsidP="00D00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TRIPPL, Michaela. Scientific mobility and knowledge transfer at the interregional and intraregional level.</w:t>
      </w:r>
      <w:r w:rsidRPr="000373C2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0373C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Regional Studies</w:t>
      </w:r>
      <w:r w:rsidRPr="000373C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, v. 47, n. 10, p. 1653-1667, 2013.</w:t>
      </w:r>
    </w:p>
    <w:sectPr w:rsidR="003F7E14" w:rsidRPr="001B13C5" w:rsidSect="00557D3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F5613" w14:textId="77777777" w:rsidR="00315115" w:rsidRDefault="00315115" w:rsidP="00883EF8">
      <w:pPr>
        <w:spacing w:after="0" w:line="240" w:lineRule="auto"/>
      </w:pPr>
      <w:r>
        <w:separator/>
      </w:r>
    </w:p>
  </w:endnote>
  <w:endnote w:type="continuationSeparator" w:id="0">
    <w:p w14:paraId="10D5DC02" w14:textId="77777777" w:rsidR="00315115" w:rsidRDefault="00315115" w:rsidP="0088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vOT6eb1388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FB6A1" w14:textId="77777777" w:rsidR="00315115" w:rsidRDefault="00315115" w:rsidP="00883EF8">
      <w:pPr>
        <w:spacing w:after="0" w:line="240" w:lineRule="auto"/>
      </w:pPr>
      <w:r>
        <w:separator/>
      </w:r>
    </w:p>
  </w:footnote>
  <w:footnote w:type="continuationSeparator" w:id="0">
    <w:p w14:paraId="2E06B574" w14:textId="77777777" w:rsidR="00315115" w:rsidRDefault="00315115" w:rsidP="00883EF8">
      <w:pPr>
        <w:spacing w:after="0" w:line="240" w:lineRule="auto"/>
      </w:pPr>
      <w:r>
        <w:continuationSeparator/>
      </w:r>
    </w:p>
  </w:footnote>
  <w:footnote w:id="1">
    <w:p w14:paraId="3AD045CE" w14:textId="77777777" w:rsidR="0092267E" w:rsidRPr="00BB428C" w:rsidRDefault="0092267E" w:rsidP="00BB428C">
      <w:pPr>
        <w:pStyle w:val="Textodenotaderodap"/>
        <w:jc w:val="both"/>
        <w:rPr>
          <w:rFonts w:ascii="Times New Roman" w:hAnsi="Times New Roman"/>
        </w:rPr>
      </w:pPr>
      <w:r w:rsidRPr="00BB428C">
        <w:rPr>
          <w:rStyle w:val="Refdenotaderodap"/>
          <w:rFonts w:ascii="Times New Roman" w:hAnsi="Times New Roman"/>
        </w:rPr>
        <w:footnoteRef/>
      </w:r>
      <w:r w:rsidRPr="00BB428C">
        <w:rPr>
          <w:rFonts w:ascii="Times New Roman" w:hAnsi="Times New Roman"/>
        </w:rPr>
        <w:t xml:space="preserve"> Inovação incremental é relacionada com incrementos </w:t>
      </w:r>
      <w:r>
        <w:rPr>
          <w:rFonts w:ascii="Times New Roman" w:hAnsi="Times New Roman"/>
        </w:rPr>
        <w:t xml:space="preserve">de qualidade </w:t>
      </w:r>
      <w:r w:rsidRPr="00BB428C">
        <w:rPr>
          <w:rFonts w:ascii="Times New Roman" w:hAnsi="Times New Roman"/>
        </w:rPr>
        <w:t>em bens ou serviços já existente</w:t>
      </w:r>
      <w:r>
        <w:rPr>
          <w:rFonts w:ascii="Times New Roman" w:hAnsi="Times New Roman"/>
        </w:rPr>
        <w:t>s</w:t>
      </w:r>
      <w:r w:rsidRPr="00BB428C">
        <w:rPr>
          <w:rFonts w:ascii="Times New Roman" w:hAnsi="Times New Roman"/>
        </w:rPr>
        <w:t>, enquanto inovação radical é relacionada com a criação de novos produtos</w:t>
      </w:r>
      <w:r>
        <w:rPr>
          <w:rFonts w:ascii="Times New Roman" w:hAnsi="Times New Roman"/>
        </w:rPr>
        <w:t xml:space="preserve">/processo, substancialmente diferentes, com grandes impactos econômicos (LEMOS </w:t>
      </w:r>
      <w:r>
        <w:rPr>
          <w:rFonts w:ascii="Times New Roman" w:hAnsi="Times New Roman"/>
          <w:i/>
        </w:rPr>
        <w:t>et al</w:t>
      </w:r>
      <w:r>
        <w:rPr>
          <w:rFonts w:ascii="Times New Roman" w:hAnsi="Times New Roman"/>
        </w:rPr>
        <w:t>., 1999).</w:t>
      </w:r>
    </w:p>
  </w:footnote>
  <w:footnote w:id="2">
    <w:p w14:paraId="6312CEB1" w14:textId="77777777" w:rsidR="0092267E" w:rsidRPr="00BB428C" w:rsidRDefault="0092267E" w:rsidP="00BB428C">
      <w:pPr>
        <w:pStyle w:val="Textodenotaderodap"/>
        <w:jc w:val="both"/>
        <w:rPr>
          <w:rFonts w:ascii="Times New Roman" w:hAnsi="Times New Roman"/>
        </w:rPr>
      </w:pPr>
      <w:r w:rsidRPr="00BB428C">
        <w:rPr>
          <w:rStyle w:val="Refdenotaderodap"/>
          <w:rFonts w:ascii="Times New Roman" w:hAnsi="Times New Roman"/>
        </w:rPr>
        <w:footnoteRef/>
      </w:r>
      <w:r w:rsidRPr="00BB428C">
        <w:rPr>
          <w:rFonts w:ascii="Times New Roman" w:hAnsi="Times New Roman"/>
        </w:rPr>
        <w:t xml:space="preserve"> Conceito criado por Schumpeter (1942)</w:t>
      </w:r>
      <w:r>
        <w:rPr>
          <w:rFonts w:ascii="Times New Roman" w:hAnsi="Times New Roman"/>
        </w:rPr>
        <w:t>,</w:t>
      </w:r>
      <w:r w:rsidRPr="00BB428C">
        <w:rPr>
          <w:rFonts w:ascii="Times New Roman" w:hAnsi="Times New Roman"/>
        </w:rPr>
        <w:t xml:space="preserve"> no qual, por meio de inovações radicais, novas empresas e novos produtos </w:t>
      </w:r>
      <w:r w:rsidRPr="004614F7">
        <w:rPr>
          <w:rFonts w:ascii="Times New Roman" w:hAnsi="Times New Roman"/>
        </w:rPr>
        <w:t>eliminam empresas</w:t>
      </w:r>
      <w:r w:rsidRPr="00BB428C">
        <w:rPr>
          <w:rFonts w:ascii="Times New Roman" w:hAnsi="Times New Roman"/>
        </w:rPr>
        <w:t xml:space="preserve"> antigas do mercado</w:t>
      </w:r>
      <w:r>
        <w:rPr>
          <w:rFonts w:ascii="Times New Roman" w:hAnsi="Times New Roman"/>
        </w:rPr>
        <w:t>.</w:t>
      </w:r>
    </w:p>
  </w:footnote>
  <w:footnote w:id="3">
    <w:p w14:paraId="224BF602" w14:textId="5726494B" w:rsidR="0092267E" w:rsidRDefault="0092267E">
      <w:pPr>
        <w:pStyle w:val="Textodenotaderodap"/>
      </w:pPr>
      <w:r>
        <w:rPr>
          <w:rStyle w:val="Refdenotaderodap"/>
        </w:rPr>
        <w:footnoteRef/>
      </w:r>
      <w:r>
        <w:t xml:space="preserve">  Os autores agradecem ao ECONS/Laboratório de Economia/FE-UFJF pela disponibilização dos dados </w:t>
      </w:r>
    </w:p>
  </w:footnote>
  <w:footnote w:id="4">
    <w:p w14:paraId="63905ADA" w14:textId="77777777" w:rsidR="0092267E" w:rsidRDefault="0092267E" w:rsidP="005A3CA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BB428C">
        <w:rPr>
          <w:rFonts w:ascii="Times New Roman" w:hAnsi="Times New Roman"/>
        </w:rPr>
        <w:t>No presente trabalho</w:t>
      </w:r>
      <w:r>
        <w:rPr>
          <w:rFonts w:ascii="Times New Roman" w:hAnsi="Times New Roman"/>
        </w:rPr>
        <w:t>,</w:t>
      </w:r>
      <w:r w:rsidRPr="00BB428C">
        <w:rPr>
          <w:rFonts w:ascii="Times New Roman" w:hAnsi="Times New Roman"/>
        </w:rPr>
        <w:t xml:space="preserve"> mobilidade e migração são utilizadas como sinônimos. No entanto, é importante ressaltar que geralmente </w:t>
      </w:r>
      <w:r w:rsidRPr="00CB703F">
        <w:rPr>
          <w:rFonts w:ascii="Times New Roman" w:hAnsi="Times New Roman"/>
        </w:rPr>
        <w:t>o termo</w:t>
      </w:r>
      <w:r w:rsidRPr="00BB428C">
        <w:rPr>
          <w:rFonts w:ascii="Times New Roman" w:hAnsi="Times New Roman"/>
        </w:rPr>
        <w:t xml:space="preserve"> migração é utilizado quando a mudança </w:t>
      </w:r>
      <w:r>
        <w:rPr>
          <w:rFonts w:ascii="Times New Roman" w:hAnsi="Times New Roman"/>
        </w:rPr>
        <w:t>envolve troca de endereço de residência.</w:t>
      </w:r>
    </w:p>
  </w:footnote>
  <w:footnote w:id="5">
    <w:p w14:paraId="33FA5562" w14:textId="77777777" w:rsidR="0092267E" w:rsidRPr="00B065C2" w:rsidRDefault="0092267E">
      <w:pPr>
        <w:pStyle w:val="Textodenotaderodap"/>
        <w:rPr>
          <w:rFonts w:ascii="Times New Roman" w:hAnsi="Times New Roman"/>
        </w:rPr>
      </w:pPr>
      <w:r w:rsidRPr="00B065C2">
        <w:rPr>
          <w:rStyle w:val="Refdenotaderodap"/>
          <w:rFonts w:ascii="Times New Roman" w:hAnsi="Times New Roman"/>
        </w:rPr>
        <w:footnoteRef/>
      </w:r>
      <w:r w:rsidRPr="00B065C2">
        <w:rPr>
          <w:rFonts w:ascii="Times New Roman" w:hAnsi="Times New Roman"/>
        </w:rPr>
        <w:t xml:space="preserve"> Em todos os modelos, as variáveis </w:t>
      </w:r>
      <w:r>
        <w:rPr>
          <w:rFonts w:ascii="Times New Roman" w:hAnsi="Times New Roman"/>
        </w:rPr>
        <w:t xml:space="preserve">explicativas </w:t>
      </w:r>
      <w:r w:rsidRPr="00B065C2">
        <w:rPr>
          <w:rFonts w:ascii="Times New Roman" w:hAnsi="Times New Roman"/>
        </w:rPr>
        <w:t xml:space="preserve">foram </w:t>
      </w:r>
      <w:proofErr w:type="spellStart"/>
      <w:r w:rsidRPr="00B065C2">
        <w:rPr>
          <w:rFonts w:ascii="Times New Roman" w:hAnsi="Times New Roman"/>
        </w:rPr>
        <w:t>logaritmizadas</w:t>
      </w:r>
      <w:proofErr w:type="spellEnd"/>
      <w:r w:rsidRPr="00B065C2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566205"/>
      <w:docPartObj>
        <w:docPartGallery w:val="Page Numbers (Top of Page)"/>
        <w:docPartUnique/>
      </w:docPartObj>
    </w:sdtPr>
    <w:sdtContent>
      <w:p w14:paraId="7E5FDDAF" w14:textId="77777777" w:rsidR="0092267E" w:rsidRDefault="0092267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F2C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EC87C09" w14:textId="77777777" w:rsidR="0092267E" w:rsidRDefault="009226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156"/>
    <w:multiLevelType w:val="multilevel"/>
    <w:tmpl w:val="5A9CA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5F0B58"/>
    <w:multiLevelType w:val="hybridMultilevel"/>
    <w:tmpl w:val="D6CE15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D755D"/>
    <w:multiLevelType w:val="multilevel"/>
    <w:tmpl w:val="921A6F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015ED7"/>
    <w:multiLevelType w:val="multilevel"/>
    <w:tmpl w:val="820A4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2CF78FF"/>
    <w:multiLevelType w:val="hybridMultilevel"/>
    <w:tmpl w:val="3D38D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C7AF5"/>
    <w:multiLevelType w:val="hybridMultilevel"/>
    <w:tmpl w:val="A372F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204E3"/>
    <w:multiLevelType w:val="hybridMultilevel"/>
    <w:tmpl w:val="FB78DC6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D4C6F"/>
    <w:multiLevelType w:val="multilevel"/>
    <w:tmpl w:val="2A0A34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FB36809"/>
    <w:multiLevelType w:val="hybridMultilevel"/>
    <w:tmpl w:val="D056F90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0BE6B72"/>
    <w:multiLevelType w:val="hybridMultilevel"/>
    <w:tmpl w:val="E042E4B0"/>
    <w:lvl w:ilvl="0" w:tplc="EF6817C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1MbW0MDI1M7E0NTFR0lEKTi0uzszPAykwrgUA3BryJCwAAAA="/>
  </w:docVars>
  <w:rsids>
    <w:rsidRoot w:val="00315842"/>
    <w:rsid w:val="00000210"/>
    <w:rsid w:val="00000A48"/>
    <w:rsid w:val="00000F3A"/>
    <w:rsid w:val="000025E5"/>
    <w:rsid w:val="00002B24"/>
    <w:rsid w:val="00003CCC"/>
    <w:rsid w:val="00004521"/>
    <w:rsid w:val="000058BF"/>
    <w:rsid w:val="00005FA7"/>
    <w:rsid w:val="000062D7"/>
    <w:rsid w:val="00007134"/>
    <w:rsid w:val="00007873"/>
    <w:rsid w:val="00010C24"/>
    <w:rsid w:val="00010C73"/>
    <w:rsid w:val="00014832"/>
    <w:rsid w:val="00014F1B"/>
    <w:rsid w:val="0001524F"/>
    <w:rsid w:val="00015BCD"/>
    <w:rsid w:val="00015FB7"/>
    <w:rsid w:val="00016503"/>
    <w:rsid w:val="0002148D"/>
    <w:rsid w:val="000225F4"/>
    <w:rsid w:val="000226F1"/>
    <w:rsid w:val="00023941"/>
    <w:rsid w:val="0002489B"/>
    <w:rsid w:val="00026E31"/>
    <w:rsid w:val="0002777B"/>
    <w:rsid w:val="00030214"/>
    <w:rsid w:val="00030EEB"/>
    <w:rsid w:val="00031186"/>
    <w:rsid w:val="00031824"/>
    <w:rsid w:val="00033296"/>
    <w:rsid w:val="000336C4"/>
    <w:rsid w:val="00034A72"/>
    <w:rsid w:val="00036001"/>
    <w:rsid w:val="000361BB"/>
    <w:rsid w:val="00036F0E"/>
    <w:rsid w:val="000373C2"/>
    <w:rsid w:val="00037436"/>
    <w:rsid w:val="000409A0"/>
    <w:rsid w:val="0004201F"/>
    <w:rsid w:val="000426AF"/>
    <w:rsid w:val="000458F9"/>
    <w:rsid w:val="00045A65"/>
    <w:rsid w:val="000461DB"/>
    <w:rsid w:val="00047DCD"/>
    <w:rsid w:val="0005242A"/>
    <w:rsid w:val="00053D80"/>
    <w:rsid w:val="00054383"/>
    <w:rsid w:val="00054845"/>
    <w:rsid w:val="0005485D"/>
    <w:rsid w:val="000549BC"/>
    <w:rsid w:val="000555B1"/>
    <w:rsid w:val="00056914"/>
    <w:rsid w:val="00060984"/>
    <w:rsid w:val="00061314"/>
    <w:rsid w:val="00062963"/>
    <w:rsid w:val="000659FA"/>
    <w:rsid w:val="0006667C"/>
    <w:rsid w:val="0007009D"/>
    <w:rsid w:val="000703F8"/>
    <w:rsid w:val="00070D5C"/>
    <w:rsid w:val="00070D91"/>
    <w:rsid w:val="00071A75"/>
    <w:rsid w:val="0007214F"/>
    <w:rsid w:val="0007307F"/>
    <w:rsid w:val="00073219"/>
    <w:rsid w:val="000738E9"/>
    <w:rsid w:val="00074969"/>
    <w:rsid w:val="00074997"/>
    <w:rsid w:val="000751B1"/>
    <w:rsid w:val="00075944"/>
    <w:rsid w:val="000763EF"/>
    <w:rsid w:val="000801E5"/>
    <w:rsid w:val="00080363"/>
    <w:rsid w:val="00081A0A"/>
    <w:rsid w:val="000853A8"/>
    <w:rsid w:val="00085A91"/>
    <w:rsid w:val="00086681"/>
    <w:rsid w:val="00086B6C"/>
    <w:rsid w:val="000875B8"/>
    <w:rsid w:val="00087B3E"/>
    <w:rsid w:val="00090106"/>
    <w:rsid w:val="000904FD"/>
    <w:rsid w:val="0009293A"/>
    <w:rsid w:val="00093313"/>
    <w:rsid w:val="00094CFF"/>
    <w:rsid w:val="00095820"/>
    <w:rsid w:val="0009619D"/>
    <w:rsid w:val="000A0EEF"/>
    <w:rsid w:val="000A19DC"/>
    <w:rsid w:val="000A1FEA"/>
    <w:rsid w:val="000A226E"/>
    <w:rsid w:val="000A7E8D"/>
    <w:rsid w:val="000B0A3B"/>
    <w:rsid w:val="000B0BE6"/>
    <w:rsid w:val="000B23CB"/>
    <w:rsid w:val="000B39F7"/>
    <w:rsid w:val="000B47BA"/>
    <w:rsid w:val="000B6FFD"/>
    <w:rsid w:val="000B7C24"/>
    <w:rsid w:val="000B7F8C"/>
    <w:rsid w:val="000C101B"/>
    <w:rsid w:val="000C2BC8"/>
    <w:rsid w:val="000C4D7A"/>
    <w:rsid w:val="000C6C0F"/>
    <w:rsid w:val="000C70E3"/>
    <w:rsid w:val="000D058B"/>
    <w:rsid w:val="000D059F"/>
    <w:rsid w:val="000D17ED"/>
    <w:rsid w:val="000D1993"/>
    <w:rsid w:val="000D1A38"/>
    <w:rsid w:val="000D1EEB"/>
    <w:rsid w:val="000D2C84"/>
    <w:rsid w:val="000D574C"/>
    <w:rsid w:val="000D6479"/>
    <w:rsid w:val="000D6CFD"/>
    <w:rsid w:val="000D7066"/>
    <w:rsid w:val="000D7933"/>
    <w:rsid w:val="000E0497"/>
    <w:rsid w:val="000E1A9D"/>
    <w:rsid w:val="000E2732"/>
    <w:rsid w:val="000E2E16"/>
    <w:rsid w:val="000E4F41"/>
    <w:rsid w:val="000E553F"/>
    <w:rsid w:val="000E5889"/>
    <w:rsid w:val="000E65B9"/>
    <w:rsid w:val="000E6963"/>
    <w:rsid w:val="000E723D"/>
    <w:rsid w:val="000E72B8"/>
    <w:rsid w:val="000E7974"/>
    <w:rsid w:val="000F0CDF"/>
    <w:rsid w:val="000F1DB6"/>
    <w:rsid w:val="000F465D"/>
    <w:rsid w:val="000F5B2E"/>
    <w:rsid w:val="000F6CC4"/>
    <w:rsid w:val="000F7DA7"/>
    <w:rsid w:val="0010064C"/>
    <w:rsid w:val="00100974"/>
    <w:rsid w:val="00100AC2"/>
    <w:rsid w:val="00102519"/>
    <w:rsid w:val="00102F65"/>
    <w:rsid w:val="0010349B"/>
    <w:rsid w:val="0010410C"/>
    <w:rsid w:val="00104C2A"/>
    <w:rsid w:val="001055D5"/>
    <w:rsid w:val="001058CC"/>
    <w:rsid w:val="00105DE4"/>
    <w:rsid w:val="0010615B"/>
    <w:rsid w:val="0010647D"/>
    <w:rsid w:val="001064A4"/>
    <w:rsid w:val="0010768C"/>
    <w:rsid w:val="00110C5D"/>
    <w:rsid w:val="001117A7"/>
    <w:rsid w:val="001123FE"/>
    <w:rsid w:val="001128C4"/>
    <w:rsid w:val="0011296A"/>
    <w:rsid w:val="00115103"/>
    <w:rsid w:val="00116A15"/>
    <w:rsid w:val="00120CDA"/>
    <w:rsid w:val="0012111F"/>
    <w:rsid w:val="001234CE"/>
    <w:rsid w:val="00124451"/>
    <w:rsid w:val="00125784"/>
    <w:rsid w:val="00125EBF"/>
    <w:rsid w:val="00125FCC"/>
    <w:rsid w:val="001265C6"/>
    <w:rsid w:val="001273EE"/>
    <w:rsid w:val="00131B3D"/>
    <w:rsid w:val="00132E71"/>
    <w:rsid w:val="00132EEB"/>
    <w:rsid w:val="00133D76"/>
    <w:rsid w:val="0013450C"/>
    <w:rsid w:val="00134795"/>
    <w:rsid w:val="001371EB"/>
    <w:rsid w:val="001379A0"/>
    <w:rsid w:val="00137B95"/>
    <w:rsid w:val="0014012C"/>
    <w:rsid w:val="0014095B"/>
    <w:rsid w:val="0014186B"/>
    <w:rsid w:val="00142D09"/>
    <w:rsid w:val="001436D2"/>
    <w:rsid w:val="001441F4"/>
    <w:rsid w:val="00144C39"/>
    <w:rsid w:val="001458E4"/>
    <w:rsid w:val="00146C73"/>
    <w:rsid w:val="0015159F"/>
    <w:rsid w:val="00151C9C"/>
    <w:rsid w:val="00153349"/>
    <w:rsid w:val="00153A18"/>
    <w:rsid w:val="00157FE1"/>
    <w:rsid w:val="00160055"/>
    <w:rsid w:val="0016024E"/>
    <w:rsid w:val="00160335"/>
    <w:rsid w:val="001620EB"/>
    <w:rsid w:val="00165C45"/>
    <w:rsid w:val="00165CC1"/>
    <w:rsid w:val="00165F26"/>
    <w:rsid w:val="001666BD"/>
    <w:rsid w:val="001710D5"/>
    <w:rsid w:val="0017309D"/>
    <w:rsid w:val="00173427"/>
    <w:rsid w:val="00174175"/>
    <w:rsid w:val="001751B6"/>
    <w:rsid w:val="00175A5B"/>
    <w:rsid w:val="00176D05"/>
    <w:rsid w:val="00180C26"/>
    <w:rsid w:val="00185C98"/>
    <w:rsid w:val="0018619C"/>
    <w:rsid w:val="001907B0"/>
    <w:rsid w:val="00191C75"/>
    <w:rsid w:val="001923D7"/>
    <w:rsid w:val="001925A1"/>
    <w:rsid w:val="00192975"/>
    <w:rsid w:val="0019389E"/>
    <w:rsid w:val="00195B1C"/>
    <w:rsid w:val="001976BD"/>
    <w:rsid w:val="001A038A"/>
    <w:rsid w:val="001A19B8"/>
    <w:rsid w:val="001A24A6"/>
    <w:rsid w:val="001A2568"/>
    <w:rsid w:val="001A25FB"/>
    <w:rsid w:val="001A26CC"/>
    <w:rsid w:val="001A2B93"/>
    <w:rsid w:val="001A3567"/>
    <w:rsid w:val="001A3A7F"/>
    <w:rsid w:val="001A5C3A"/>
    <w:rsid w:val="001A64FD"/>
    <w:rsid w:val="001B0FA8"/>
    <w:rsid w:val="001B13C5"/>
    <w:rsid w:val="001B28AF"/>
    <w:rsid w:val="001B2904"/>
    <w:rsid w:val="001B32B9"/>
    <w:rsid w:val="001B3582"/>
    <w:rsid w:val="001B447C"/>
    <w:rsid w:val="001B469B"/>
    <w:rsid w:val="001B4FF9"/>
    <w:rsid w:val="001B5D79"/>
    <w:rsid w:val="001C1EB3"/>
    <w:rsid w:val="001C329D"/>
    <w:rsid w:val="001C35DB"/>
    <w:rsid w:val="001C497D"/>
    <w:rsid w:val="001D0D3B"/>
    <w:rsid w:val="001D4537"/>
    <w:rsid w:val="001D4874"/>
    <w:rsid w:val="001D5574"/>
    <w:rsid w:val="001D635B"/>
    <w:rsid w:val="001D6C28"/>
    <w:rsid w:val="001D77B8"/>
    <w:rsid w:val="001D79D5"/>
    <w:rsid w:val="001E042D"/>
    <w:rsid w:val="001E0C4A"/>
    <w:rsid w:val="001E27D3"/>
    <w:rsid w:val="001E6F4D"/>
    <w:rsid w:val="001F1D40"/>
    <w:rsid w:val="001F4111"/>
    <w:rsid w:val="001F5465"/>
    <w:rsid w:val="001F60EF"/>
    <w:rsid w:val="001F6BB9"/>
    <w:rsid w:val="00200002"/>
    <w:rsid w:val="00200DA0"/>
    <w:rsid w:val="00201F83"/>
    <w:rsid w:val="0020252B"/>
    <w:rsid w:val="002033E2"/>
    <w:rsid w:val="00203EA8"/>
    <w:rsid w:val="0020506E"/>
    <w:rsid w:val="002053C1"/>
    <w:rsid w:val="00205431"/>
    <w:rsid w:val="00206E36"/>
    <w:rsid w:val="00212087"/>
    <w:rsid w:val="0021233F"/>
    <w:rsid w:val="00214EAF"/>
    <w:rsid w:val="002152AA"/>
    <w:rsid w:val="0021631C"/>
    <w:rsid w:val="00225030"/>
    <w:rsid w:val="00226145"/>
    <w:rsid w:val="00226813"/>
    <w:rsid w:val="00227C8D"/>
    <w:rsid w:val="00230570"/>
    <w:rsid w:val="00230EB3"/>
    <w:rsid w:val="00231770"/>
    <w:rsid w:val="0023347A"/>
    <w:rsid w:val="002349BB"/>
    <w:rsid w:val="002354FF"/>
    <w:rsid w:val="002368BA"/>
    <w:rsid w:val="00236A7B"/>
    <w:rsid w:val="00237AB8"/>
    <w:rsid w:val="00240029"/>
    <w:rsid w:val="00240C4E"/>
    <w:rsid w:val="00241F0C"/>
    <w:rsid w:val="0024230C"/>
    <w:rsid w:val="002450FA"/>
    <w:rsid w:val="002516D5"/>
    <w:rsid w:val="002517D5"/>
    <w:rsid w:val="00251898"/>
    <w:rsid w:val="00252113"/>
    <w:rsid w:val="002524F5"/>
    <w:rsid w:val="0025583C"/>
    <w:rsid w:val="002575B6"/>
    <w:rsid w:val="00257793"/>
    <w:rsid w:val="00260897"/>
    <w:rsid w:val="00262AE1"/>
    <w:rsid w:val="00267C01"/>
    <w:rsid w:val="002704C2"/>
    <w:rsid w:val="00270AAB"/>
    <w:rsid w:val="00272263"/>
    <w:rsid w:val="00272CC7"/>
    <w:rsid w:val="00273A74"/>
    <w:rsid w:val="00276137"/>
    <w:rsid w:val="002774B4"/>
    <w:rsid w:val="00277D43"/>
    <w:rsid w:val="00277E4E"/>
    <w:rsid w:val="00280DD7"/>
    <w:rsid w:val="0028353D"/>
    <w:rsid w:val="002841BC"/>
    <w:rsid w:val="00284356"/>
    <w:rsid w:val="00284698"/>
    <w:rsid w:val="0028525A"/>
    <w:rsid w:val="0028562E"/>
    <w:rsid w:val="00285B2C"/>
    <w:rsid w:val="00285B4C"/>
    <w:rsid w:val="002938A7"/>
    <w:rsid w:val="00295243"/>
    <w:rsid w:val="002953C0"/>
    <w:rsid w:val="00295648"/>
    <w:rsid w:val="002969E2"/>
    <w:rsid w:val="00296A8D"/>
    <w:rsid w:val="0029738D"/>
    <w:rsid w:val="00297498"/>
    <w:rsid w:val="00297A97"/>
    <w:rsid w:val="002A02E2"/>
    <w:rsid w:val="002A0629"/>
    <w:rsid w:val="002A1140"/>
    <w:rsid w:val="002A192E"/>
    <w:rsid w:val="002A19A6"/>
    <w:rsid w:val="002A2426"/>
    <w:rsid w:val="002A25DF"/>
    <w:rsid w:val="002A2D18"/>
    <w:rsid w:val="002A50D9"/>
    <w:rsid w:val="002A5348"/>
    <w:rsid w:val="002A5881"/>
    <w:rsid w:val="002A65FF"/>
    <w:rsid w:val="002A6934"/>
    <w:rsid w:val="002A7DDD"/>
    <w:rsid w:val="002B0076"/>
    <w:rsid w:val="002B0616"/>
    <w:rsid w:val="002B074C"/>
    <w:rsid w:val="002B0C72"/>
    <w:rsid w:val="002B1717"/>
    <w:rsid w:val="002B1B5D"/>
    <w:rsid w:val="002B1E98"/>
    <w:rsid w:val="002B1F89"/>
    <w:rsid w:val="002B2AB0"/>
    <w:rsid w:val="002B2B1E"/>
    <w:rsid w:val="002B338D"/>
    <w:rsid w:val="002B55DE"/>
    <w:rsid w:val="002B5E3F"/>
    <w:rsid w:val="002B7A7D"/>
    <w:rsid w:val="002C0294"/>
    <w:rsid w:val="002C04CA"/>
    <w:rsid w:val="002C08BF"/>
    <w:rsid w:val="002C37F2"/>
    <w:rsid w:val="002C4B16"/>
    <w:rsid w:val="002C4E35"/>
    <w:rsid w:val="002C5BEF"/>
    <w:rsid w:val="002D01BE"/>
    <w:rsid w:val="002D1E74"/>
    <w:rsid w:val="002D2F9D"/>
    <w:rsid w:val="002D4709"/>
    <w:rsid w:val="002D49FC"/>
    <w:rsid w:val="002D55E7"/>
    <w:rsid w:val="002D6114"/>
    <w:rsid w:val="002D73D0"/>
    <w:rsid w:val="002D7822"/>
    <w:rsid w:val="002E05DB"/>
    <w:rsid w:val="002E2287"/>
    <w:rsid w:val="002E2E7B"/>
    <w:rsid w:val="002E388A"/>
    <w:rsid w:val="002E49BC"/>
    <w:rsid w:val="002E69C8"/>
    <w:rsid w:val="002F00A3"/>
    <w:rsid w:val="002F0F34"/>
    <w:rsid w:val="002F1D5F"/>
    <w:rsid w:val="002F2BBB"/>
    <w:rsid w:val="002F3041"/>
    <w:rsid w:val="002F3A79"/>
    <w:rsid w:val="00300FF6"/>
    <w:rsid w:val="00302237"/>
    <w:rsid w:val="00304EF4"/>
    <w:rsid w:val="0030597D"/>
    <w:rsid w:val="00306A7B"/>
    <w:rsid w:val="00313661"/>
    <w:rsid w:val="003141A3"/>
    <w:rsid w:val="00314F8F"/>
    <w:rsid w:val="00315115"/>
    <w:rsid w:val="003157D6"/>
    <w:rsid w:val="00315842"/>
    <w:rsid w:val="00315DC7"/>
    <w:rsid w:val="0031778C"/>
    <w:rsid w:val="00321434"/>
    <w:rsid w:val="003231CD"/>
    <w:rsid w:val="00324953"/>
    <w:rsid w:val="003265A7"/>
    <w:rsid w:val="003266D3"/>
    <w:rsid w:val="00327D4B"/>
    <w:rsid w:val="003302CA"/>
    <w:rsid w:val="003308B4"/>
    <w:rsid w:val="00331EB1"/>
    <w:rsid w:val="00332BC5"/>
    <w:rsid w:val="00332D96"/>
    <w:rsid w:val="003342B1"/>
    <w:rsid w:val="00334710"/>
    <w:rsid w:val="0033563B"/>
    <w:rsid w:val="00335C35"/>
    <w:rsid w:val="0033628D"/>
    <w:rsid w:val="00336D02"/>
    <w:rsid w:val="00337642"/>
    <w:rsid w:val="003400D9"/>
    <w:rsid w:val="0034040E"/>
    <w:rsid w:val="00341852"/>
    <w:rsid w:val="00345162"/>
    <w:rsid w:val="00347DEC"/>
    <w:rsid w:val="00350245"/>
    <w:rsid w:val="003513E2"/>
    <w:rsid w:val="003526F6"/>
    <w:rsid w:val="003529A0"/>
    <w:rsid w:val="00352C7D"/>
    <w:rsid w:val="003533C5"/>
    <w:rsid w:val="00354D88"/>
    <w:rsid w:val="00355FC5"/>
    <w:rsid w:val="003560E0"/>
    <w:rsid w:val="003562C5"/>
    <w:rsid w:val="00356804"/>
    <w:rsid w:val="00360A67"/>
    <w:rsid w:val="00360AE7"/>
    <w:rsid w:val="00361554"/>
    <w:rsid w:val="00363930"/>
    <w:rsid w:val="0036494D"/>
    <w:rsid w:val="00364EDA"/>
    <w:rsid w:val="00365EA0"/>
    <w:rsid w:val="00366F2C"/>
    <w:rsid w:val="00367618"/>
    <w:rsid w:val="00367B27"/>
    <w:rsid w:val="00367FCD"/>
    <w:rsid w:val="0037051A"/>
    <w:rsid w:val="0037091E"/>
    <w:rsid w:val="0037126D"/>
    <w:rsid w:val="00371DA2"/>
    <w:rsid w:val="00372488"/>
    <w:rsid w:val="00373EEE"/>
    <w:rsid w:val="00373FED"/>
    <w:rsid w:val="00374E6F"/>
    <w:rsid w:val="00375335"/>
    <w:rsid w:val="003765C8"/>
    <w:rsid w:val="0037685F"/>
    <w:rsid w:val="00380E4E"/>
    <w:rsid w:val="003815F0"/>
    <w:rsid w:val="00382CB2"/>
    <w:rsid w:val="003831AA"/>
    <w:rsid w:val="00383837"/>
    <w:rsid w:val="0038511A"/>
    <w:rsid w:val="003853DC"/>
    <w:rsid w:val="003873F4"/>
    <w:rsid w:val="00390EED"/>
    <w:rsid w:val="003924AE"/>
    <w:rsid w:val="00392D80"/>
    <w:rsid w:val="00394F92"/>
    <w:rsid w:val="003954AD"/>
    <w:rsid w:val="00395E11"/>
    <w:rsid w:val="0039638E"/>
    <w:rsid w:val="003A0C65"/>
    <w:rsid w:val="003A0D1D"/>
    <w:rsid w:val="003A649C"/>
    <w:rsid w:val="003A65E5"/>
    <w:rsid w:val="003B12B8"/>
    <w:rsid w:val="003B174B"/>
    <w:rsid w:val="003B20F8"/>
    <w:rsid w:val="003B2945"/>
    <w:rsid w:val="003B5923"/>
    <w:rsid w:val="003C1656"/>
    <w:rsid w:val="003C202E"/>
    <w:rsid w:val="003C3C17"/>
    <w:rsid w:val="003C47E6"/>
    <w:rsid w:val="003C488D"/>
    <w:rsid w:val="003C507B"/>
    <w:rsid w:val="003D02BC"/>
    <w:rsid w:val="003D2D40"/>
    <w:rsid w:val="003D38C4"/>
    <w:rsid w:val="003D5289"/>
    <w:rsid w:val="003E1555"/>
    <w:rsid w:val="003E6AF9"/>
    <w:rsid w:val="003E74B5"/>
    <w:rsid w:val="003E7D6A"/>
    <w:rsid w:val="003F1A52"/>
    <w:rsid w:val="003F4508"/>
    <w:rsid w:val="003F459F"/>
    <w:rsid w:val="003F543D"/>
    <w:rsid w:val="003F6499"/>
    <w:rsid w:val="003F6B20"/>
    <w:rsid w:val="003F7E14"/>
    <w:rsid w:val="00400A31"/>
    <w:rsid w:val="00400A6A"/>
    <w:rsid w:val="00401611"/>
    <w:rsid w:val="004025A0"/>
    <w:rsid w:val="0040687B"/>
    <w:rsid w:val="00407F0C"/>
    <w:rsid w:val="00410E97"/>
    <w:rsid w:val="0041113F"/>
    <w:rsid w:val="00411896"/>
    <w:rsid w:val="00411E63"/>
    <w:rsid w:val="00412399"/>
    <w:rsid w:val="00412A5A"/>
    <w:rsid w:val="00412FA9"/>
    <w:rsid w:val="00413062"/>
    <w:rsid w:val="004161EA"/>
    <w:rsid w:val="00417710"/>
    <w:rsid w:val="00420364"/>
    <w:rsid w:val="00420A64"/>
    <w:rsid w:val="004212EB"/>
    <w:rsid w:val="004253A3"/>
    <w:rsid w:val="004271D3"/>
    <w:rsid w:val="00427388"/>
    <w:rsid w:val="00427835"/>
    <w:rsid w:val="00427AE8"/>
    <w:rsid w:val="004300E3"/>
    <w:rsid w:val="004304C5"/>
    <w:rsid w:val="00430D9A"/>
    <w:rsid w:val="00431010"/>
    <w:rsid w:val="00431F11"/>
    <w:rsid w:val="004327A7"/>
    <w:rsid w:val="00432C4F"/>
    <w:rsid w:val="00433A47"/>
    <w:rsid w:val="00434134"/>
    <w:rsid w:val="00434A20"/>
    <w:rsid w:val="00434E8A"/>
    <w:rsid w:val="004373E5"/>
    <w:rsid w:val="00437B10"/>
    <w:rsid w:val="004408DF"/>
    <w:rsid w:val="0044146F"/>
    <w:rsid w:val="0044295D"/>
    <w:rsid w:val="00443BC2"/>
    <w:rsid w:val="00445AC2"/>
    <w:rsid w:val="0044722D"/>
    <w:rsid w:val="004477C4"/>
    <w:rsid w:val="0045055E"/>
    <w:rsid w:val="00450AE3"/>
    <w:rsid w:val="00450FEB"/>
    <w:rsid w:val="00451102"/>
    <w:rsid w:val="004519E2"/>
    <w:rsid w:val="00452761"/>
    <w:rsid w:val="004537F0"/>
    <w:rsid w:val="00460D79"/>
    <w:rsid w:val="004614F7"/>
    <w:rsid w:val="00461A68"/>
    <w:rsid w:val="004633D2"/>
    <w:rsid w:val="00463D89"/>
    <w:rsid w:val="00465BD9"/>
    <w:rsid w:val="0046678F"/>
    <w:rsid w:val="00466A90"/>
    <w:rsid w:val="0046733B"/>
    <w:rsid w:val="004714CE"/>
    <w:rsid w:val="00471563"/>
    <w:rsid w:val="00472414"/>
    <w:rsid w:val="004733B0"/>
    <w:rsid w:val="00473791"/>
    <w:rsid w:val="0047452A"/>
    <w:rsid w:val="00476844"/>
    <w:rsid w:val="00477EC6"/>
    <w:rsid w:val="00482713"/>
    <w:rsid w:val="0048287A"/>
    <w:rsid w:val="004840EB"/>
    <w:rsid w:val="004842F8"/>
    <w:rsid w:val="00485178"/>
    <w:rsid w:val="00486A1B"/>
    <w:rsid w:val="004873D7"/>
    <w:rsid w:val="004878DA"/>
    <w:rsid w:val="00490F7A"/>
    <w:rsid w:val="00491374"/>
    <w:rsid w:val="00491895"/>
    <w:rsid w:val="00491E59"/>
    <w:rsid w:val="00492596"/>
    <w:rsid w:val="0049401D"/>
    <w:rsid w:val="00495485"/>
    <w:rsid w:val="00495778"/>
    <w:rsid w:val="00495C10"/>
    <w:rsid w:val="00497478"/>
    <w:rsid w:val="004A04FE"/>
    <w:rsid w:val="004A2748"/>
    <w:rsid w:val="004A3A9F"/>
    <w:rsid w:val="004A3F05"/>
    <w:rsid w:val="004A49AE"/>
    <w:rsid w:val="004A6666"/>
    <w:rsid w:val="004A7B9D"/>
    <w:rsid w:val="004A7DAD"/>
    <w:rsid w:val="004A7E7E"/>
    <w:rsid w:val="004B154C"/>
    <w:rsid w:val="004B17F1"/>
    <w:rsid w:val="004B21A3"/>
    <w:rsid w:val="004B3CB3"/>
    <w:rsid w:val="004B610E"/>
    <w:rsid w:val="004B6D45"/>
    <w:rsid w:val="004B717D"/>
    <w:rsid w:val="004C07D1"/>
    <w:rsid w:val="004C0F3D"/>
    <w:rsid w:val="004C10B7"/>
    <w:rsid w:val="004C26A4"/>
    <w:rsid w:val="004C389A"/>
    <w:rsid w:val="004C476A"/>
    <w:rsid w:val="004C4C80"/>
    <w:rsid w:val="004C5C1C"/>
    <w:rsid w:val="004C5E75"/>
    <w:rsid w:val="004C7929"/>
    <w:rsid w:val="004C7C6F"/>
    <w:rsid w:val="004D02B5"/>
    <w:rsid w:val="004D03D5"/>
    <w:rsid w:val="004D0B76"/>
    <w:rsid w:val="004D4253"/>
    <w:rsid w:val="004D4330"/>
    <w:rsid w:val="004D4375"/>
    <w:rsid w:val="004D446F"/>
    <w:rsid w:val="004D5896"/>
    <w:rsid w:val="004D5F66"/>
    <w:rsid w:val="004D7745"/>
    <w:rsid w:val="004E02EC"/>
    <w:rsid w:val="004E09A5"/>
    <w:rsid w:val="004E1252"/>
    <w:rsid w:val="004E13D6"/>
    <w:rsid w:val="004E49B4"/>
    <w:rsid w:val="004E5CC6"/>
    <w:rsid w:val="004E60D5"/>
    <w:rsid w:val="004E65F2"/>
    <w:rsid w:val="004F0A28"/>
    <w:rsid w:val="004F1157"/>
    <w:rsid w:val="004F13F8"/>
    <w:rsid w:val="004F1E9C"/>
    <w:rsid w:val="004F3E1F"/>
    <w:rsid w:val="004F45EB"/>
    <w:rsid w:val="004F4B17"/>
    <w:rsid w:val="004F5939"/>
    <w:rsid w:val="00504224"/>
    <w:rsid w:val="005045D0"/>
    <w:rsid w:val="00504DE2"/>
    <w:rsid w:val="00504E25"/>
    <w:rsid w:val="00505FFE"/>
    <w:rsid w:val="005135E4"/>
    <w:rsid w:val="00515EDB"/>
    <w:rsid w:val="0051680A"/>
    <w:rsid w:val="005179AD"/>
    <w:rsid w:val="005210D3"/>
    <w:rsid w:val="005213EF"/>
    <w:rsid w:val="00523F22"/>
    <w:rsid w:val="00525E78"/>
    <w:rsid w:val="00526175"/>
    <w:rsid w:val="005267E1"/>
    <w:rsid w:val="0052700A"/>
    <w:rsid w:val="0053048A"/>
    <w:rsid w:val="0053127D"/>
    <w:rsid w:val="00532052"/>
    <w:rsid w:val="00532C61"/>
    <w:rsid w:val="0053452A"/>
    <w:rsid w:val="00540B8F"/>
    <w:rsid w:val="00540E27"/>
    <w:rsid w:val="00541B97"/>
    <w:rsid w:val="0054214A"/>
    <w:rsid w:val="0054366A"/>
    <w:rsid w:val="005449B2"/>
    <w:rsid w:val="005450A9"/>
    <w:rsid w:val="00545953"/>
    <w:rsid w:val="0055036E"/>
    <w:rsid w:val="00552689"/>
    <w:rsid w:val="00553852"/>
    <w:rsid w:val="00553922"/>
    <w:rsid w:val="00553E68"/>
    <w:rsid w:val="005540CD"/>
    <w:rsid w:val="005573E5"/>
    <w:rsid w:val="00557D3B"/>
    <w:rsid w:val="00557F26"/>
    <w:rsid w:val="005611BD"/>
    <w:rsid w:val="00562746"/>
    <w:rsid w:val="00563E4B"/>
    <w:rsid w:val="00565C9B"/>
    <w:rsid w:val="00566D38"/>
    <w:rsid w:val="0056738F"/>
    <w:rsid w:val="005703AB"/>
    <w:rsid w:val="00570B50"/>
    <w:rsid w:val="00570CEF"/>
    <w:rsid w:val="005710DA"/>
    <w:rsid w:val="00574CB8"/>
    <w:rsid w:val="00575F04"/>
    <w:rsid w:val="00577DD3"/>
    <w:rsid w:val="00580735"/>
    <w:rsid w:val="00584055"/>
    <w:rsid w:val="005845F5"/>
    <w:rsid w:val="005877D9"/>
    <w:rsid w:val="00590ECA"/>
    <w:rsid w:val="0059111F"/>
    <w:rsid w:val="005941EF"/>
    <w:rsid w:val="00594741"/>
    <w:rsid w:val="00594924"/>
    <w:rsid w:val="00595701"/>
    <w:rsid w:val="00596B69"/>
    <w:rsid w:val="00596B86"/>
    <w:rsid w:val="00596CA4"/>
    <w:rsid w:val="005A031A"/>
    <w:rsid w:val="005A0A29"/>
    <w:rsid w:val="005A1E8E"/>
    <w:rsid w:val="005A3CA9"/>
    <w:rsid w:val="005A3E8F"/>
    <w:rsid w:val="005A5624"/>
    <w:rsid w:val="005A59E3"/>
    <w:rsid w:val="005A5E07"/>
    <w:rsid w:val="005A6ED4"/>
    <w:rsid w:val="005B0680"/>
    <w:rsid w:val="005B1D65"/>
    <w:rsid w:val="005B20E3"/>
    <w:rsid w:val="005B6B3B"/>
    <w:rsid w:val="005C04AB"/>
    <w:rsid w:val="005C1F39"/>
    <w:rsid w:val="005C2116"/>
    <w:rsid w:val="005C3B34"/>
    <w:rsid w:val="005C3CB7"/>
    <w:rsid w:val="005C503C"/>
    <w:rsid w:val="005C5181"/>
    <w:rsid w:val="005C523A"/>
    <w:rsid w:val="005C541E"/>
    <w:rsid w:val="005C5432"/>
    <w:rsid w:val="005C62DD"/>
    <w:rsid w:val="005D10C9"/>
    <w:rsid w:val="005D1B80"/>
    <w:rsid w:val="005D531B"/>
    <w:rsid w:val="005D63FC"/>
    <w:rsid w:val="005D6AB2"/>
    <w:rsid w:val="005D6C41"/>
    <w:rsid w:val="005D7896"/>
    <w:rsid w:val="005E35AA"/>
    <w:rsid w:val="005E4231"/>
    <w:rsid w:val="005E54FB"/>
    <w:rsid w:val="005E564A"/>
    <w:rsid w:val="005E6293"/>
    <w:rsid w:val="005E7E94"/>
    <w:rsid w:val="005E7EAF"/>
    <w:rsid w:val="005F0A89"/>
    <w:rsid w:val="005F0F25"/>
    <w:rsid w:val="005F105E"/>
    <w:rsid w:val="005F1308"/>
    <w:rsid w:val="005F2BB7"/>
    <w:rsid w:val="005F3750"/>
    <w:rsid w:val="005F3C52"/>
    <w:rsid w:val="005F4793"/>
    <w:rsid w:val="005F78F7"/>
    <w:rsid w:val="00600238"/>
    <w:rsid w:val="006012CC"/>
    <w:rsid w:val="00601EF9"/>
    <w:rsid w:val="00601F70"/>
    <w:rsid w:val="006033B3"/>
    <w:rsid w:val="0060362A"/>
    <w:rsid w:val="006047B9"/>
    <w:rsid w:val="00604D96"/>
    <w:rsid w:val="00606526"/>
    <w:rsid w:val="006066F1"/>
    <w:rsid w:val="00606AD5"/>
    <w:rsid w:val="0060752E"/>
    <w:rsid w:val="00610800"/>
    <w:rsid w:val="00610C42"/>
    <w:rsid w:val="00611917"/>
    <w:rsid w:val="00611AD6"/>
    <w:rsid w:val="00611FE1"/>
    <w:rsid w:val="00613D78"/>
    <w:rsid w:val="0061605F"/>
    <w:rsid w:val="00617D6A"/>
    <w:rsid w:val="00617DC0"/>
    <w:rsid w:val="00622476"/>
    <w:rsid w:val="00623D8D"/>
    <w:rsid w:val="006248D3"/>
    <w:rsid w:val="00624B62"/>
    <w:rsid w:val="00625494"/>
    <w:rsid w:val="00626DC6"/>
    <w:rsid w:val="00626F3D"/>
    <w:rsid w:val="00630050"/>
    <w:rsid w:val="00631DDD"/>
    <w:rsid w:val="006342B0"/>
    <w:rsid w:val="00635340"/>
    <w:rsid w:val="006358C9"/>
    <w:rsid w:val="0063659E"/>
    <w:rsid w:val="006377D7"/>
    <w:rsid w:val="00642748"/>
    <w:rsid w:val="006438D1"/>
    <w:rsid w:val="00644445"/>
    <w:rsid w:val="00644638"/>
    <w:rsid w:val="0064464B"/>
    <w:rsid w:val="00646B2F"/>
    <w:rsid w:val="00647715"/>
    <w:rsid w:val="00647EC4"/>
    <w:rsid w:val="00647F3B"/>
    <w:rsid w:val="00650F9E"/>
    <w:rsid w:val="00651287"/>
    <w:rsid w:val="00651783"/>
    <w:rsid w:val="00653AE8"/>
    <w:rsid w:val="006540E6"/>
    <w:rsid w:val="006561D3"/>
    <w:rsid w:val="00656662"/>
    <w:rsid w:val="0065716C"/>
    <w:rsid w:val="00660797"/>
    <w:rsid w:val="00662917"/>
    <w:rsid w:val="006632FC"/>
    <w:rsid w:val="0066330F"/>
    <w:rsid w:val="0066352C"/>
    <w:rsid w:val="00664293"/>
    <w:rsid w:val="006664C5"/>
    <w:rsid w:val="00666A98"/>
    <w:rsid w:val="00666C64"/>
    <w:rsid w:val="00670C74"/>
    <w:rsid w:val="00671ECE"/>
    <w:rsid w:val="006723A1"/>
    <w:rsid w:val="006727C0"/>
    <w:rsid w:val="00676FA9"/>
    <w:rsid w:val="006812E0"/>
    <w:rsid w:val="006820D0"/>
    <w:rsid w:val="00682152"/>
    <w:rsid w:val="006836DB"/>
    <w:rsid w:val="00683DDA"/>
    <w:rsid w:val="006862A8"/>
    <w:rsid w:val="00686CEC"/>
    <w:rsid w:val="00687C5E"/>
    <w:rsid w:val="00692299"/>
    <w:rsid w:val="006933FE"/>
    <w:rsid w:val="0069398D"/>
    <w:rsid w:val="0069514A"/>
    <w:rsid w:val="00695786"/>
    <w:rsid w:val="00696818"/>
    <w:rsid w:val="00696DDE"/>
    <w:rsid w:val="00697AEC"/>
    <w:rsid w:val="006A06FA"/>
    <w:rsid w:val="006A4555"/>
    <w:rsid w:val="006A4D5F"/>
    <w:rsid w:val="006A6114"/>
    <w:rsid w:val="006A657F"/>
    <w:rsid w:val="006A7F01"/>
    <w:rsid w:val="006B0329"/>
    <w:rsid w:val="006B1309"/>
    <w:rsid w:val="006B175C"/>
    <w:rsid w:val="006B1DD0"/>
    <w:rsid w:val="006B21B9"/>
    <w:rsid w:val="006B5436"/>
    <w:rsid w:val="006B5588"/>
    <w:rsid w:val="006B66FA"/>
    <w:rsid w:val="006B68C6"/>
    <w:rsid w:val="006B6A0C"/>
    <w:rsid w:val="006B6F6E"/>
    <w:rsid w:val="006C019A"/>
    <w:rsid w:val="006C1941"/>
    <w:rsid w:val="006C1E3A"/>
    <w:rsid w:val="006C4CDA"/>
    <w:rsid w:val="006C5BFD"/>
    <w:rsid w:val="006C6BCE"/>
    <w:rsid w:val="006C6DC3"/>
    <w:rsid w:val="006C7235"/>
    <w:rsid w:val="006C735C"/>
    <w:rsid w:val="006D0021"/>
    <w:rsid w:val="006D003A"/>
    <w:rsid w:val="006D06B0"/>
    <w:rsid w:val="006D0C66"/>
    <w:rsid w:val="006D0E08"/>
    <w:rsid w:val="006D0F77"/>
    <w:rsid w:val="006D24A2"/>
    <w:rsid w:val="006D2579"/>
    <w:rsid w:val="006D4C08"/>
    <w:rsid w:val="006D5BCB"/>
    <w:rsid w:val="006D65A2"/>
    <w:rsid w:val="006D6E74"/>
    <w:rsid w:val="006D7175"/>
    <w:rsid w:val="006E0478"/>
    <w:rsid w:val="006E2755"/>
    <w:rsid w:val="006E2AC2"/>
    <w:rsid w:val="006E3D24"/>
    <w:rsid w:val="006E4CD7"/>
    <w:rsid w:val="006E4D07"/>
    <w:rsid w:val="006E6999"/>
    <w:rsid w:val="006E6ED8"/>
    <w:rsid w:val="006F035A"/>
    <w:rsid w:val="006F0946"/>
    <w:rsid w:val="006F27FB"/>
    <w:rsid w:val="006F5701"/>
    <w:rsid w:val="006F59F9"/>
    <w:rsid w:val="006F5B00"/>
    <w:rsid w:val="006F64D9"/>
    <w:rsid w:val="00701659"/>
    <w:rsid w:val="00702C84"/>
    <w:rsid w:val="00705086"/>
    <w:rsid w:val="00705379"/>
    <w:rsid w:val="00705D5B"/>
    <w:rsid w:val="0070779E"/>
    <w:rsid w:val="00707A29"/>
    <w:rsid w:val="007106CA"/>
    <w:rsid w:val="00710F0C"/>
    <w:rsid w:val="0071261C"/>
    <w:rsid w:val="0071264B"/>
    <w:rsid w:val="00712759"/>
    <w:rsid w:val="0071285D"/>
    <w:rsid w:val="007139BA"/>
    <w:rsid w:val="00714C84"/>
    <w:rsid w:val="00715E56"/>
    <w:rsid w:val="007161CC"/>
    <w:rsid w:val="00717EEA"/>
    <w:rsid w:val="00720912"/>
    <w:rsid w:val="00720A48"/>
    <w:rsid w:val="00720D74"/>
    <w:rsid w:val="00723E06"/>
    <w:rsid w:val="00725685"/>
    <w:rsid w:val="007258AE"/>
    <w:rsid w:val="00725F30"/>
    <w:rsid w:val="007276F5"/>
    <w:rsid w:val="00730918"/>
    <w:rsid w:val="00732564"/>
    <w:rsid w:val="007331D0"/>
    <w:rsid w:val="007343CA"/>
    <w:rsid w:val="0073466E"/>
    <w:rsid w:val="007351D0"/>
    <w:rsid w:val="00735AAE"/>
    <w:rsid w:val="00737AC3"/>
    <w:rsid w:val="00737D95"/>
    <w:rsid w:val="00740376"/>
    <w:rsid w:val="00742F1F"/>
    <w:rsid w:val="007467FB"/>
    <w:rsid w:val="00747894"/>
    <w:rsid w:val="00750772"/>
    <w:rsid w:val="00751C15"/>
    <w:rsid w:val="0075302B"/>
    <w:rsid w:val="007541A7"/>
    <w:rsid w:val="007545A0"/>
    <w:rsid w:val="007557BB"/>
    <w:rsid w:val="00757589"/>
    <w:rsid w:val="007608DC"/>
    <w:rsid w:val="00760C06"/>
    <w:rsid w:val="0076360F"/>
    <w:rsid w:val="00764483"/>
    <w:rsid w:val="007646F4"/>
    <w:rsid w:val="00764B82"/>
    <w:rsid w:val="007672C8"/>
    <w:rsid w:val="00767A03"/>
    <w:rsid w:val="00770069"/>
    <w:rsid w:val="00770246"/>
    <w:rsid w:val="0077437D"/>
    <w:rsid w:val="00774FA6"/>
    <w:rsid w:val="00774FC2"/>
    <w:rsid w:val="007767C9"/>
    <w:rsid w:val="00777AF0"/>
    <w:rsid w:val="00781CCB"/>
    <w:rsid w:val="00782240"/>
    <w:rsid w:val="007835B7"/>
    <w:rsid w:val="007849D5"/>
    <w:rsid w:val="00785F13"/>
    <w:rsid w:val="00785F72"/>
    <w:rsid w:val="00786185"/>
    <w:rsid w:val="007873E8"/>
    <w:rsid w:val="00790A87"/>
    <w:rsid w:val="00791011"/>
    <w:rsid w:val="007920E8"/>
    <w:rsid w:val="0079220B"/>
    <w:rsid w:val="007934C0"/>
    <w:rsid w:val="00794595"/>
    <w:rsid w:val="00797090"/>
    <w:rsid w:val="00797131"/>
    <w:rsid w:val="007976BB"/>
    <w:rsid w:val="007977F6"/>
    <w:rsid w:val="00797CDC"/>
    <w:rsid w:val="00797CE2"/>
    <w:rsid w:val="007A1E06"/>
    <w:rsid w:val="007A3C9B"/>
    <w:rsid w:val="007A4127"/>
    <w:rsid w:val="007A51D6"/>
    <w:rsid w:val="007A782F"/>
    <w:rsid w:val="007A7F13"/>
    <w:rsid w:val="007A7FF4"/>
    <w:rsid w:val="007B139F"/>
    <w:rsid w:val="007B2FD5"/>
    <w:rsid w:val="007B38C5"/>
    <w:rsid w:val="007B4599"/>
    <w:rsid w:val="007B607D"/>
    <w:rsid w:val="007B6670"/>
    <w:rsid w:val="007B6944"/>
    <w:rsid w:val="007B7EEB"/>
    <w:rsid w:val="007C4830"/>
    <w:rsid w:val="007C6035"/>
    <w:rsid w:val="007C74B5"/>
    <w:rsid w:val="007D0198"/>
    <w:rsid w:val="007D0738"/>
    <w:rsid w:val="007D1E88"/>
    <w:rsid w:val="007D2286"/>
    <w:rsid w:val="007D23C6"/>
    <w:rsid w:val="007D2E78"/>
    <w:rsid w:val="007D3352"/>
    <w:rsid w:val="007D48B6"/>
    <w:rsid w:val="007D6F12"/>
    <w:rsid w:val="007D6F94"/>
    <w:rsid w:val="007E094D"/>
    <w:rsid w:val="007E129D"/>
    <w:rsid w:val="007E1EE7"/>
    <w:rsid w:val="007E2687"/>
    <w:rsid w:val="007E2B25"/>
    <w:rsid w:val="007E2DB3"/>
    <w:rsid w:val="007E360D"/>
    <w:rsid w:val="007E3AAE"/>
    <w:rsid w:val="007E41D3"/>
    <w:rsid w:val="007E6814"/>
    <w:rsid w:val="007E6C0E"/>
    <w:rsid w:val="007E6D04"/>
    <w:rsid w:val="007F226F"/>
    <w:rsid w:val="007F2961"/>
    <w:rsid w:val="007F2DCE"/>
    <w:rsid w:val="007F4ACC"/>
    <w:rsid w:val="008004F9"/>
    <w:rsid w:val="00802A3E"/>
    <w:rsid w:val="00802B9F"/>
    <w:rsid w:val="00805820"/>
    <w:rsid w:val="00807C5F"/>
    <w:rsid w:val="008101E7"/>
    <w:rsid w:val="00810BE6"/>
    <w:rsid w:val="0081258E"/>
    <w:rsid w:val="00812D56"/>
    <w:rsid w:val="00813B3B"/>
    <w:rsid w:val="0081609A"/>
    <w:rsid w:val="00817A67"/>
    <w:rsid w:val="00817DC3"/>
    <w:rsid w:val="00826439"/>
    <w:rsid w:val="00831A29"/>
    <w:rsid w:val="00833759"/>
    <w:rsid w:val="00834728"/>
    <w:rsid w:val="0083563E"/>
    <w:rsid w:val="00835745"/>
    <w:rsid w:val="00835F74"/>
    <w:rsid w:val="0083656B"/>
    <w:rsid w:val="008374ED"/>
    <w:rsid w:val="0083760C"/>
    <w:rsid w:val="00842DD7"/>
    <w:rsid w:val="00845E99"/>
    <w:rsid w:val="00847AC7"/>
    <w:rsid w:val="008508F6"/>
    <w:rsid w:val="008518FC"/>
    <w:rsid w:val="00851FDE"/>
    <w:rsid w:val="008534AE"/>
    <w:rsid w:val="00860BCF"/>
    <w:rsid w:val="00860DDF"/>
    <w:rsid w:val="0086132D"/>
    <w:rsid w:val="008621A7"/>
    <w:rsid w:val="00862268"/>
    <w:rsid w:val="00862DCC"/>
    <w:rsid w:val="00863EDD"/>
    <w:rsid w:val="00864970"/>
    <w:rsid w:val="008662D7"/>
    <w:rsid w:val="00867CB0"/>
    <w:rsid w:val="00871BCA"/>
    <w:rsid w:val="00872006"/>
    <w:rsid w:val="008737DA"/>
    <w:rsid w:val="00874127"/>
    <w:rsid w:val="00874508"/>
    <w:rsid w:val="00876E10"/>
    <w:rsid w:val="00877102"/>
    <w:rsid w:val="00883E07"/>
    <w:rsid w:val="00883EF8"/>
    <w:rsid w:val="00884927"/>
    <w:rsid w:val="0088579F"/>
    <w:rsid w:val="00885DAA"/>
    <w:rsid w:val="00887F68"/>
    <w:rsid w:val="0089051E"/>
    <w:rsid w:val="008905F0"/>
    <w:rsid w:val="008919BC"/>
    <w:rsid w:val="00892DC5"/>
    <w:rsid w:val="00894830"/>
    <w:rsid w:val="00894EA9"/>
    <w:rsid w:val="00896440"/>
    <w:rsid w:val="008A09BD"/>
    <w:rsid w:val="008A0A0A"/>
    <w:rsid w:val="008A1A0F"/>
    <w:rsid w:val="008A1AF3"/>
    <w:rsid w:val="008A26E4"/>
    <w:rsid w:val="008A2992"/>
    <w:rsid w:val="008A3797"/>
    <w:rsid w:val="008A437C"/>
    <w:rsid w:val="008A5864"/>
    <w:rsid w:val="008A6817"/>
    <w:rsid w:val="008A6989"/>
    <w:rsid w:val="008A7BA4"/>
    <w:rsid w:val="008B0049"/>
    <w:rsid w:val="008B0B6E"/>
    <w:rsid w:val="008B0DCE"/>
    <w:rsid w:val="008B22AA"/>
    <w:rsid w:val="008B3FC7"/>
    <w:rsid w:val="008B6F4C"/>
    <w:rsid w:val="008B7294"/>
    <w:rsid w:val="008B79AB"/>
    <w:rsid w:val="008C144F"/>
    <w:rsid w:val="008C1AF1"/>
    <w:rsid w:val="008C2AC0"/>
    <w:rsid w:val="008C45E3"/>
    <w:rsid w:val="008C7694"/>
    <w:rsid w:val="008C7A7E"/>
    <w:rsid w:val="008D1CC6"/>
    <w:rsid w:val="008D21EA"/>
    <w:rsid w:val="008D2349"/>
    <w:rsid w:val="008D27A6"/>
    <w:rsid w:val="008D2D47"/>
    <w:rsid w:val="008D31A2"/>
    <w:rsid w:val="008D4039"/>
    <w:rsid w:val="008D43D5"/>
    <w:rsid w:val="008D5593"/>
    <w:rsid w:val="008D6DDA"/>
    <w:rsid w:val="008E0F22"/>
    <w:rsid w:val="008E16EC"/>
    <w:rsid w:val="008E2DE0"/>
    <w:rsid w:val="008E48E3"/>
    <w:rsid w:val="008E4F57"/>
    <w:rsid w:val="008E5113"/>
    <w:rsid w:val="008E651E"/>
    <w:rsid w:val="008E6BFA"/>
    <w:rsid w:val="008E6D20"/>
    <w:rsid w:val="008E7A47"/>
    <w:rsid w:val="008F0B64"/>
    <w:rsid w:val="008F189C"/>
    <w:rsid w:val="008F1E10"/>
    <w:rsid w:val="008F22D6"/>
    <w:rsid w:val="008F30D1"/>
    <w:rsid w:val="008F3129"/>
    <w:rsid w:val="008F44B9"/>
    <w:rsid w:val="008F63AF"/>
    <w:rsid w:val="008F7333"/>
    <w:rsid w:val="00900FCD"/>
    <w:rsid w:val="00901955"/>
    <w:rsid w:val="00901AA5"/>
    <w:rsid w:val="00903E15"/>
    <w:rsid w:val="009052C0"/>
    <w:rsid w:val="009066FE"/>
    <w:rsid w:val="009071D2"/>
    <w:rsid w:val="00914EBA"/>
    <w:rsid w:val="0091564A"/>
    <w:rsid w:val="00917C72"/>
    <w:rsid w:val="0092043F"/>
    <w:rsid w:val="00920953"/>
    <w:rsid w:val="00921488"/>
    <w:rsid w:val="00921E8A"/>
    <w:rsid w:val="00921F26"/>
    <w:rsid w:val="0092267E"/>
    <w:rsid w:val="00923389"/>
    <w:rsid w:val="009244E7"/>
    <w:rsid w:val="00924B16"/>
    <w:rsid w:val="00924EC7"/>
    <w:rsid w:val="009252CA"/>
    <w:rsid w:val="00925E6A"/>
    <w:rsid w:val="0092715C"/>
    <w:rsid w:val="00927846"/>
    <w:rsid w:val="00930492"/>
    <w:rsid w:val="00931297"/>
    <w:rsid w:val="00931FC6"/>
    <w:rsid w:val="0093574E"/>
    <w:rsid w:val="00936B88"/>
    <w:rsid w:val="00937C2D"/>
    <w:rsid w:val="00937E40"/>
    <w:rsid w:val="0094071C"/>
    <w:rsid w:val="00940B43"/>
    <w:rsid w:val="00940DC6"/>
    <w:rsid w:val="00940DDC"/>
    <w:rsid w:val="00941BC3"/>
    <w:rsid w:val="00941FAD"/>
    <w:rsid w:val="00944B41"/>
    <w:rsid w:val="00947DE6"/>
    <w:rsid w:val="00950D05"/>
    <w:rsid w:val="00950E7F"/>
    <w:rsid w:val="00952501"/>
    <w:rsid w:val="00953088"/>
    <w:rsid w:val="00953816"/>
    <w:rsid w:val="009554FA"/>
    <w:rsid w:val="00955AD3"/>
    <w:rsid w:val="00955B5E"/>
    <w:rsid w:val="0095778D"/>
    <w:rsid w:val="00961390"/>
    <w:rsid w:val="00961F70"/>
    <w:rsid w:val="009633E0"/>
    <w:rsid w:val="00964049"/>
    <w:rsid w:val="00965ACA"/>
    <w:rsid w:val="00965F37"/>
    <w:rsid w:val="009661CE"/>
    <w:rsid w:val="00966DED"/>
    <w:rsid w:val="009714AB"/>
    <w:rsid w:val="00971748"/>
    <w:rsid w:val="009718B5"/>
    <w:rsid w:val="00972E49"/>
    <w:rsid w:val="0097302A"/>
    <w:rsid w:val="00973BD1"/>
    <w:rsid w:val="00974BB6"/>
    <w:rsid w:val="00974E0C"/>
    <w:rsid w:val="009751C7"/>
    <w:rsid w:val="0097540F"/>
    <w:rsid w:val="00975786"/>
    <w:rsid w:val="00981DA3"/>
    <w:rsid w:val="00983E5F"/>
    <w:rsid w:val="00983EB7"/>
    <w:rsid w:val="00984083"/>
    <w:rsid w:val="009847A4"/>
    <w:rsid w:val="00990622"/>
    <w:rsid w:val="009910D4"/>
    <w:rsid w:val="0099237B"/>
    <w:rsid w:val="00993070"/>
    <w:rsid w:val="009943FB"/>
    <w:rsid w:val="0099605B"/>
    <w:rsid w:val="00997F55"/>
    <w:rsid w:val="009A0D05"/>
    <w:rsid w:val="009A19FF"/>
    <w:rsid w:val="009A1D18"/>
    <w:rsid w:val="009A2215"/>
    <w:rsid w:val="009A31CC"/>
    <w:rsid w:val="009A3CD4"/>
    <w:rsid w:val="009A43CA"/>
    <w:rsid w:val="009A48DE"/>
    <w:rsid w:val="009A4B4F"/>
    <w:rsid w:val="009A520B"/>
    <w:rsid w:val="009A5E8D"/>
    <w:rsid w:val="009A73B8"/>
    <w:rsid w:val="009B0509"/>
    <w:rsid w:val="009B25A6"/>
    <w:rsid w:val="009B4E22"/>
    <w:rsid w:val="009B536C"/>
    <w:rsid w:val="009B5DB6"/>
    <w:rsid w:val="009B644D"/>
    <w:rsid w:val="009C3444"/>
    <w:rsid w:val="009C396D"/>
    <w:rsid w:val="009C3CF4"/>
    <w:rsid w:val="009C5804"/>
    <w:rsid w:val="009C5C5A"/>
    <w:rsid w:val="009C7FEF"/>
    <w:rsid w:val="009D10BE"/>
    <w:rsid w:val="009D231B"/>
    <w:rsid w:val="009D307F"/>
    <w:rsid w:val="009D505C"/>
    <w:rsid w:val="009D566C"/>
    <w:rsid w:val="009D60D1"/>
    <w:rsid w:val="009D633E"/>
    <w:rsid w:val="009E21FF"/>
    <w:rsid w:val="009E24D9"/>
    <w:rsid w:val="009E4B9F"/>
    <w:rsid w:val="009E623B"/>
    <w:rsid w:val="009E7990"/>
    <w:rsid w:val="009F0675"/>
    <w:rsid w:val="009F2D15"/>
    <w:rsid w:val="009F46F1"/>
    <w:rsid w:val="009F5A0E"/>
    <w:rsid w:val="009F704C"/>
    <w:rsid w:val="009F71F8"/>
    <w:rsid w:val="009F7753"/>
    <w:rsid w:val="009F7841"/>
    <w:rsid w:val="00A01B24"/>
    <w:rsid w:val="00A020B3"/>
    <w:rsid w:val="00A03914"/>
    <w:rsid w:val="00A03990"/>
    <w:rsid w:val="00A03F9C"/>
    <w:rsid w:val="00A042D2"/>
    <w:rsid w:val="00A06FCC"/>
    <w:rsid w:val="00A07298"/>
    <w:rsid w:val="00A07BA8"/>
    <w:rsid w:val="00A11E45"/>
    <w:rsid w:val="00A123EC"/>
    <w:rsid w:val="00A12928"/>
    <w:rsid w:val="00A13313"/>
    <w:rsid w:val="00A14803"/>
    <w:rsid w:val="00A20011"/>
    <w:rsid w:val="00A20587"/>
    <w:rsid w:val="00A207AC"/>
    <w:rsid w:val="00A21A1B"/>
    <w:rsid w:val="00A2420E"/>
    <w:rsid w:val="00A2482D"/>
    <w:rsid w:val="00A24E8B"/>
    <w:rsid w:val="00A26816"/>
    <w:rsid w:val="00A2777D"/>
    <w:rsid w:val="00A30904"/>
    <w:rsid w:val="00A30DCB"/>
    <w:rsid w:val="00A31D23"/>
    <w:rsid w:val="00A34B2C"/>
    <w:rsid w:val="00A34F1E"/>
    <w:rsid w:val="00A34F66"/>
    <w:rsid w:val="00A366CF"/>
    <w:rsid w:val="00A36DCD"/>
    <w:rsid w:val="00A37594"/>
    <w:rsid w:val="00A402C9"/>
    <w:rsid w:val="00A4288D"/>
    <w:rsid w:val="00A43695"/>
    <w:rsid w:val="00A439B7"/>
    <w:rsid w:val="00A46E10"/>
    <w:rsid w:val="00A519C1"/>
    <w:rsid w:val="00A51E8E"/>
    <w:rsid w:val="00A53F12"/>
    <w:rsid w:val="00A54E19"/>
    <w:rsid w:val="00A55BA5"/>
    <w:rsid w:val="00A56F63"/>
    <w:rsid w:val="00A6003B"/>
    <w:rsid w:val="00A62579"/>
    <w:rsid w:val="00A64280"/>
    <w:rsid w:val="00A64BF7"/>
    <w:rsid w:val="00A6586E"/>
    <w:rsid w:val="00A67A3E"/>
    <w:rsid w:val="00A71715"/>
    <w:rsid w:val="00A72734"/>
    <w:rsid w:val="00A73139"/>
    <w:rsid w:val="00A74CB1"/>
    <w:rsid w:val="00A75196"/>
    <w:rsid w:val="00A75447"/>
    <w:rsid w:val="00A75F09"/>
    <w:rsid w:val="00A7704A"/>
    <w:rsid w:val="00A77CB4"/>
    <w:rsid w:val="00A8372F"/>
    <w:rsid w:val="00A83B04"/>
    <w:rsid w:val="00A83C92"/>
    <w:rsid w:val="00A848D2"/>
    <w:rsid w:val="00A859E4"/>
    <w:rsid w:val="00A864CF"/>
    <w:rsid w:val="00A86D65"/>
    <w:rsid w:val="00A86FB6"/>
    <w:rsid w:val="00A905E8"/>
    <w:rsid w:val="00A92555"/>
    <w:rsid w:val="00A92DC6"/>
    <w:rsid w:val="00A930B5"/>
    <w:rsid w:val="00A93110"/>
    <w:rsid w:val="00A9617C"/>
    <w:rsid w:val="00A96941"/>
    <w:rsid w:val="00A97C62"/>
    <w:rsid w:val="00AA003C"/>
    <w:rsid w:val="00AA02CA"/>
    <w:rsid w:val="00AA1A37"/>
    <w:rsid w:val="00AA3643"/>
    <w:rsid w:val="00AA5174"/>
    <w:rsid w:val="00AA7985"/>
    <w:rsid w:val="00AA7AEC"/>
    <w:rsid w:val="00AB053A"/>
    <w:rsid w:val="00AB25F4"/>
    <w:rsid w:val="00AB2C22"/>
    <w:rsid w:val="00AB35EE"/>
    <w:rsid w:val="00AB4301"/>
    <w:rsid w:val="00AB51AF"/>
    <w:rsid w:val="00AB55B4"/>
    <w:rsid w:val="00AB6FC4"/>
    <w:rsid w:val="00AB760E"/>
    <w:rsid w:val="00AB7B03"/>
    <w:rsid w:val="00AB7E5B"/>
    <w:rsid w:val="00AC222F"/>
    <w:rsid w:val="00AC23B4"/>
    <w:rsid w:val="00AC2C62"/>
    <w:rsid w:val="00AC2F97"/>
    <w:rsid w:val="00AC3027"/>
    <w:rsid w:val="00AC4530"/>
    <w:rsid w:val="00AC620A"/>
    <w:rsid w:val="00AC6EF3"/>
    <w:rsid w:val="00AD008C"/>
    <w:rsid w:val="00AD0233"/>
    <w:rsid w:val="00AD0DAA"/>
    <w:rsid w:val="00AD2979"/>
    <w:rsid w:val="00AD5488"/>
    <w:rsid w:val="00AD65C9"/>
    <w:rsid w:val="00AD7ACA"/>
    <w:rsid w:val="00AD7DD3"/>
    <w:rsid w:val="00AE12D9"/>
    <w:rsid w:val="00AE30F0"/>
    <w:rsid w:val="00AE4108"/>
    <w:rsid w:val="00AF0042"/>
    <w:rsid w:val="00AF04B3"/>
    <w:rsid w:val="00AF3486"/>
    <w:rsid w:val="00AF37D5"/>
    <w:rsid w:val="00AF3909"/>
    <w:rsid w:val="00AF493C"/>
    <w:rsid w:val="00AF6654"/>
    <w:rsid w:val="00AF6EA5"/>
    <w:rsid w:val="00AF6FEE"/>
    <w:rsid w:val="00B00ED0"/>
    <w:rsid w:val="00B01A04"/>
    <w:rsid w:val="00B02B3F"/>
    <w:rsid w:val="00B044A5"/>
    <w:rsid w:val="00B04523"/>
    <w:rsid w:val="00B058BA"/>
    <w:rsid w:val="00B058C5"/>
    <w:rsid w:val="00B05B74"/>
    <w:rsid w:val="00B06206"/>
    <w:rsid w:val="00B065C2"/>
    <w:rsid w:val="00B07347"/>
    <w:rsid w:val="00B07FA3"/>
    <w:rsid w:val="00B10414"/>
    <w:rsid w:val="00B10CDA"/>
    <w:rsid w:val="00B125E9"/>
    <w:rsid w:val="00B1367F"/>
    <w:rsid w:val="00B142EF"/>
    <w:rsid w:val="00B145D7"/>
    <w:rsid w:val="00B14F66"/>
    <w:rsid w:val="00B16612"/>
    <w:rsid w:val="00B17F76"/>
    <w:rsid w:val="00B21F51"/>
    <w:rsid w:val="00B2324A"/>
    <w:rsid w:val="00B238B6"/>
    <w:rsid w:val="00B26E7E"/>
    <w:rsid w:val="00B2709C"/>
    <w:rsid w:val="00B2709E"/>
    <w:rsid w:val="00B273A6"/>
    <w:rsid w:val="00B27885"/>
    <w:rsid w:val="00B27F9E"/>
    <w:rsid w:val="00B30CE8"/>
    <w:rsid w:val="00B314AA"/>
    <w:rsid w:val="00B32BE0"/>
    <w:rsid w:val="00B333FF"/>
    <w:rsid w:val="00B4146F"/>
    <w:rsid w:val="00B425B5"/>
    <w:rsid w:val="00B42948"/>
    <w:rsid w:val="00B42D5C"/>
    <w:rsid w:val="00B44DD3"/>
    <w:rsid w:val="00B47902"/>
    <w:rsid w:val="00B503ED"/>
    <w:rsid w:val="00B50DC9"/>
    <w:rsid w:val="00B50EC7"/>
    <w:rsid w:val="00B521AF"/>
    <w:rsid w:val="00B529FD"/>
    <w:rsid w:val="00B53306"/>
    <w:rsid w:val="00B561F5"/>
    <w:rsid w:val="00B56AC6"/>
    <w:rsid w:val="00B619D5"/>
    <w:rsid w:val="00B626BE"/>
    <w:rsid w:val="00B63BF3"/>
    <w:rsid w:val="00B63DDB"/>
    <w:rsid w:val="00B64AC0"/>
    <w:rsid w:val="00B64AD0"/>
    <w:rsid w:val="00B66446"/>
    <w:rsid w:val="00B70227"/>
    <w:rsid w:val="00B72F8E"/>
    <w:rsid w:val="00B73F14"/>
    <w:rsid w:val="00B75219"/>
    <w:rsid w:val="00B75DE5"/>
    <w:rsid w:val="00B7669B"/>
    <w:rsid w:val="00B7669E"/>
    <w:rsid w:val="00B76E5D"/>
    <w:rsid w:val="00B773FB"/>
    <w:rsid w:val="00B8011C"/>
    <w:rsid w:val="00B81BEA"/>
    <w:rsid w:val="00B82FC2"/>
    <w:rsid w:val="00B83029"/>
    <w:rsid w:val="00B83A04"/>
    <w:rsid w:val="00B83F12"/>
    <w:rsid w:val="00B8654D"/>
    <w:rsid w:val="00B902C8"/>
    <w:rsid w:val="00B92568"/>
    <w:rsid w:val="00BA019B"/>
    <w:rsid w:val="00BA14B6"/>
    <w:rsid w:val="00BA1854"/>
    <w:rsid w:val="00BA1CB1"/>
    <w:rsid w:val="00BA271F"/>
    <w:rsid w:val="00BA2EC7"/>
    <w:rsid w:val="00BA2F25"/>
    <w:rsid w:val="00BA372E"/>
    <w:rsid w:val="00BB0806"/>
    <w:rsid w:val="00BB11AE"/>
    <w:rsid w:val="00BB3652"/>
    <w:rsid w:val="00BB428C"/>
    <w:rsid w:val="00BB43A9"/>
    <w:rsid w:val="00BB457B"/>
    <w:rsid w:val="00BB4CBB"/>
    <w:rsid w:val="00BB5B9F"/>
    <w:rsid w:val="00BB6C8B"/>
    <w:rsid w:val="00BC56C5"/>
    <w:rsid w:val="00BC6B3B"/>
    <w:rsid w:val="00BC73B3"/>
    <w:rsid w:val="00BD01EC"/>
    <w:rsid w:val="00BD0A23"/>
    <w:rsid w:val="00BD0C7B"/>
    <w:rsid w:val="00BD0FE3"/>
    <w:rsid w:val="00BD1217"/>
    <w:rsid w:val="00BD5779"/>
    <w:rsid w:val="00BD68A8"/>
    <w:rsid w:val="00BD6B5B"/>
    <w:rsid w:val="00BE02DF"/>
    <w:rsid w:val="00BE09A5"/>
    <w:rsid w:val="00BE0F97"/>
    <w:rsid w:val="00BE13DE"/>
    <w:rsid w:val="00BE23D2"/>
    <w:rsid w:val="00BE33C2"/>
    <w:rsid w:val="00BE35DE"/>
    <w:rsid w:val="00BF0B03"/>
    <w:rsid w:val="00BF1A08"/>
    <w:rsid w:val="00BF1B33"/>
    <w:rsid w:val="00BF1F55"/>
    <w:rsid w:val="00BF2127"/>
    <w:rsid w:val="00BF2724"/>
    <w:rsid w:val="00BF3016"/>
    <w:rsid w:val="00BF51D2"/>
    <w:rsid w:val="00BF554E"/>
    <w:rsid w:val="00BF7474"/>
    <w:rsid w:val="00C00013"/>
    <w:rsid w:val="00C00FCC"/>
    <w:rsid w:val="00C01680"/>
    <w:rsid w:val="00C01E4C"/>
    <w:rsid w:val="00C01E89"/>
    <w:rsid w:val="00C02407"/>
    <w:rsid w:val="00C0328C"/>
    <w:rsid w:val="00C04357"/>
    <w:rsid w:val="00C04835"/>
    <w:rsid w:val="00C05645"/>
    <w:rsid w:val="00C14567"/>
    <w:rsid w:val="00C17676"/>
    <w:rsid w:val="00C1771E"/>
    <w:rsid w:val="00C20879"/>
    <w:rsid w:val="00C20CC1"/>
    <w:rsid w:val="00C20ED4"/>
    <w:rsid w:val="00C219FC"/>
    <w:rsid w:val="00C22651"/>
    <w:rsid w:val="00C22B6A"/>
    <w:rsid w:val="00C22EA3"/>
    <w:rsid w:val="00C22EED"/>
    <w:rsid w:val="00C2417E"/>
    <w:rsid w:val="00C24413"/>
    <w:rsid w:val="00C2481A"/>
    <w:rsid w:val="00C25F34"/>
    <w:rsid w:val="00C30902"/>
    <w:rsid w:val="00C30F32"/>
    <w:rsid w:val="00C31227"/>
    <w:rsid w:val="00C32313"/>
    <w:rsid w:val="00C34111"/>
    <w:rsid w:val="00C363E5"/>
    <w:rsid w:val="00C36796"/>
    <w:rsid w:val="00C3687D"/>
    <w:rsid w:val="00C371B0"/>
    <w:rsid w:val="00C376BF"/>
    <w:rsid w:val="00C41CB0"/>
    <w:rsid w:val="00C4208D"/>
    <w:rsid w:val="00C43F7B"/>
    <w:rsid w:val="00C44452"/>
    <w:rsid w:val="00C4656B"/>
    <w:rsid w:val="00C502C5"/>
    <w:rsid w:val="00C505FE"/>
    <w:rsid w:val="00C50CE5"/>
    <w:rsid w:val="00C50F8D"/>
    <w:rsid w:val="00C543E5"/>
    <w:rsid w:val="00C56E1B"/>
    <w:rsid w:val="00C5766F"/>
    <w:rsid w:val="00C62091"/>
    <w:rsid w:val="00C63567"/>
    <w:rsid w:val="00C63D67"/>
    <w:rsid w:val="00C6417C"/>
    <w:rsid w:val="00C643F6"/>
    <w:rsid w:val="00C64A57"/>
    <w:rsid w:val="00C64DA2"/>
    <w:rsid w:val="00C64F45"/>
    <w:rsid w:val="00C65DAD"/>
    <w:rsid w:val="00C65F80"/>
    <w:rsid w:val="00C66740"/>
    <w:rsid w:val="00C66E35"/>
    <w:rsid w:val="00C708E2"/>
    <w:rsid w:val="00C71700"/>
    <w:rsid w:val="00C72DBE"/>
    <w:rsid w:val="00C72FA6"/>
    <w:rsid w:val="00C731AD"/>
    <w:rsid w:val="00C736C9"/>
    <w:rsid w:val="00C73DC5"/>
    <w:rsid w:val="00C760B3"/>
    <w:rsid w:val="00C769C5"/>
    <w:rsid w:val="00C80978"/>
    <w:rsid w:val="00C80F5E"/>
    <w:rsid w:val="00C815D9"/>
    <w:rsid w:val="00C819FE"/>
    <w:rsid w:val="00C822DE"/>
    <w:rsid w:val="00C82465"/>
    <w:rsid w:val="00C82771"/>
    <w:rsid w:val="00C867F9"/>
    <w:rsid w:val="00C876AD"/>
    <w:rsid w:val="00C87AD8"/>
    <w:rsid w:val="00C90113"/>
    <w:rsid w:val="00C906AE"/>
    <w:rsid w:val="00C90C8E"/>
    <w:rsid w:val="00C91985"/>
    <w:rsid w:val="00C91CE9"/>
    <w:rsid w:val="00C92584"/>
    <w:rsid w:val="00C926C9"/>
    <w:rsid w:val="00CA22D2"/>
    <w:rsid w:val="00CA2C30"/>
    <w:rsid w:val="00CA3C87"/>
    <w:rsid w:val="00CA3FB6"/>
    <w:rsid w:val="00CA47D0"/>
    <w:rsid w:val="00CA4BA2"/>
    <w:rsid w:val="00CA6A61"/>
    <w:rsid w:val="00CB1090"/>
    <w:rsid w:val="00CB12E3"/>
    <w:rsid w:val="00CB218D"/>
    <w:rsid w:val="00CB3DD5"/>
    <w:rsid w:val="00CB6450"/>
    <w:rsid w:val="00CB703F"/>
    <w:rsid w:val="00CB780A"/>
    <w:rsid w:val="00CC03C6"/>
    <w:rsid w:val="00CC2241"/>
    <w:rsid w:val="00CC364A"/>
    <w:rsid w:val="00CC4B79"/>
    <w:rsid w:val="00CC65DC"/>
    <w:rsid w:val="00CC7935"/>
    <w:rsid w:val="00CD00FE"/>
    <w:rsid w:val="00CD1063"/>
    <w:rsid w:val="00CD1F32"/>
    <w:rsid w:val="00CD1FAF"/>
    <w:rsid w:val="00CD3609"/>
    <w:rsid w:val="00CD39F9"/>
    <w:rsid w:val="00CD3AD9"/>
    <w:rsid w:val="00CD3D79"/>
    <w:rsid w:val="00CD3FA1"/>
    <w:rsid w:val="00CD4962"/>
    <w:rsid w:val="00CD6A62"/>
    <w:rsid w:val="00CD6EF2"/>
    <w:rsid w:val="00CD7E6B"/>
    <w:rsid w:val="00CE084F"/>
    <w:rsid w:val="00CE0AB0"/>
    <w:rsid w:val="00CE39D2"/>
    <w:rsid w:val="00CE50FC"/>
    <w:rsid w:val="00CF1895"/>
    <w:rsid w:val="00CF44BF"/>
    <w:rsid w:val="00CF4AAD"/>
    <w:rsid w:val="00CF53C2"/>
    <w:rsid w:val="00CF53D9"/>
    <w:rsid w:val="00CF5C5C"/>
    <w:rsid w:val="00CF7945"/>
    <w:rsid w:val="00D005DD"/>
    <w:rsid w:val="00D00F0C"/>
    <w:rsid w:val="00D021C8"/>
    <w:rsid w:val="00D0231F"/>
    <w:rsid w:val="00D02643"/>
    <w:rsid w:val="00D03A3C"/>
    <w:rsid w:val="00D05800"/>
    <w:rsid w:val="00D0709D"/>
    <w:rsid w:val="00D07C4F"/>
    <w:rsid w:val="00D1011D"/>
    <w:rsid w:val="00D10686"/>
    <w:rsid w:val="00D10974"/>
    <w:rsid w:val="00D1542C"/>
    <w:rsid w:val="00D16038"/>
    <w:rsid w:val="00D1624B"/>
    <w:rsid w:val="00D20404"/>
    <w:rsid w:val="00D20A29"/>
    <w:rsid w:val="00D20EB7"/>
    <w:rsid w:val="00D220D0"/>
    <w:rsid w:val="00D23AE6"/>
    <w:rsid w:val="00D23B19"/>
    <w:rsid w:val="00D265AB"/>
    <w:rsid w:val="00D33336"/>
    <w:rsid w:val="00D33FE7"/>
    <w:rsid w:val="00D34BB1"/>
    <w:rsid w:val="00D35A98"/>
    <w:rsid w:val="00D37119"/>
    <w:rsid w:val="00D41E0F"/>
    <w:rsid w:val="00D42667"/>
    <w:rsid w:val="00D42B61"/>
    <w:rsid w:val="00D43F68"/>
    <w:rsid w:val="00D441BA"/>
    <w:rsid w:val="00D44DBD"/>
    <w:rsid w:val="00D45947"/>
    <w:rsid w:val="00D45FDD"/>
    <w:rsid w:val="00D47214"/>
    <w:rsid w:val="00D47A24"/>
    <w:rsid w:val="00D47BB8"/>
    <w:rsid w:val="00D51B50"/>
    <w:rsid w:val="00D53049"/>
    <w:rsid w:val="00D5315B"/>
    <w:rsid w:val="00D53257"/>
    <w:rsid w:val="00D54964"/>
    <w:rsid w:val="00D55CA8"/>
    <w:rsid w:val="00D561FF"/>
    <w:rsid w:val="00D566CE"/>
    <w:rsid w:val="00D6039B"/>
    <w:rsid w:val="00D61179"/>
    <w:rsid w:val="00D617D6"/>
    <w:rsid w:val="00D62423"/>
    <w:rsid w:val="00D628C3"/>
    <w:rsid w:val="00D62D1A"/>
    <w:rsid w:val="00D63079"/>
    <w:rsid w:val="00D64F91"/>
    <w:rsid w:val="00D65CA6"/>
    <w:rsid w:val="00D66100"/>
    <w:rsid w:val="00D70252"/>
    <w:rsid w:val="00D71501"/>
    <w:rsid w:val="00D73FB1"/>
    <w:rsid w:val="00D741E7"/>
    <w:rsid w:val="00D755EC"/>
    <w:rsid w:val="00D75ABD"/>
    <w:rsid w:val="00D761A0"/>
    <w:rsid w:val="00D7695E"/>
    <w:rsid w:val="00D76C0F"/>
    <w:rsid w:val="00D7729C"/>
    <w:rsid w:val="00D7754B"/>
    <w:rsid w:val="00D80046"/>
    <w:rsid w:val="00D80A9D"/>
    <w:rsid w:val="00D829C5"/>
    <w:rsid w:val="00D855EA"/>
    <w:rsid w:val="00D86836"/>
    <w:rsid w:val="00D873A5"/>
    <w:rsid w:val="00D909A0"/>
    <w:rsid w:val="00D91765"/>
    <w:rsid w:val="00D9305A"/>
    <w:rsid w:val="00D9329D"/>
    <w:rsid w:val="00D9359F"/>
    <w:rsid w:val="00D9396D"/>
    <w:rsid w:val="00D940E4"/>
    <w:rsid w:val="00D95978"/>
    <w:rsid w:val="00D97492"/>
    <w:rsid w:val="00D9794A"/>
    <w:rsid w:val="00DA06DB"/>
    <w:rsid w:val="00DA0711"/>
    <w:rsid w:val="00DA09E4"/>
    <w:rsid w:val="00DA1B1E"/>
    <w:rsid w:val="00DA2B5B"/>
    <w:rsid w:val="00DA38C1"/>
    <w:rsid w:val="00DA3B40"/>
    <w:rsid w:val="00DA4FC4"/>
    <w:rsid w:val="00DA5B69"/>
    <w:rsid w:val="00DA6424"/>
    <w:rsid w:val="00DA70B2"/>
    <w:rsid w:val="00DB0100"/>
    <w:rsid w:val="00DB04F3"/>
    <w:rsid w:val="00DB25EC"/>
    <w:rsid w:val="00DB28D5"/>
    <w:rsid w:val="00DB2CB2"/>
    <w:rsid w:val="00DB3E79"/>
    <w:rsid w:val="00DB442B"/>
    <w:rsid w:val="00DB5189"/>
    <w:rsid w:val="00DB787B"/>
    <w:rsid w:val="00DC1591"/>
    <w:rsid w:val="00DC1CDC"/>
    <w:rsid w:val="00DC2DB5"/>
    <w:rsid w:val="00DC318D"/>
    <w:rsid w:val="00DC3F71"/>
    <w:rsid w:val="00DC5135"/>
    <w:rsid w:val="00DC6039"/>
    <w:rsid w:val="00DC6FB2"/>
    <w:rsid w:val="00DC7CF7"/>
    <w:rsid w:val="00DD136A"/>
    <w:rsid w:val="00DD15A6"/>
    <w:rsid w:val="00DD1EB6"/>
    <w:rsid w:val="00DD21F1"/>
    <w:rsid w:val="00DD4ED2"/>
    <w:rsid w:val="00DD5307"/>
    <w:rsid w:val="00DE29CE"/>
    <w:rsid w:val="00DE3D18"/>
    <w:rsid w:val="00DE4F14"/>
    <w:rsid w:val="00DE6180"/>
    <w:rsid w:val="00DE6E27"/>
    <w:rsid w:val="00DE72D6"/>
    <w:rsid w:val="00DF017E"/>
    <w:rsid w:val="00DF29E6"/>
    <w:rsid w:val="00DF3726"/>
    <w:rsid w:val="00DF384B"/>
    <w:rsid w:val="00DF3BC7"/>
    <w:rsid w:val="00DF4119"/>
    <w:rsid w:val="00DF6072"/>
    <w:rsid w:val="00DF7518"/>
    <w:rsid w:val="00DF7B59"/>
    <w:rsid w:val="00DF7D06"/>
    <w:rsid w:val="00DF7D56"/>
    <w:rsid w:val="00E015E2"/>
    <w:rsid w:val="00E024E0"/>
    <w:rsid w:val="00E0297F"/>
    <w:rsid w:val="00E030F8"/>
    <w:rsid w:val="00E057D2"/>
    <w:rsid w:val="00E064A5"/>
    <w:rsid w:val="00E06CDD"/>
    <w:rsid w:val="00E10780"/>
    <w:rsid w:val="00E12CF5"/>
    <w:rsid w:val="00E13213"/>
    <w:rsid w:val="00E139B6"/>
    <w:rsid w:val="00E15ED7"/>
    <w:rsid w:val="00E16073"/>
    <w:rsid w:val="00E16B7E"/>
    <w:rsid w:val="00E205D7"/>
    <w:rsid w:val="00E20B8B"/>
    <w:rsid w:val="00E20F1F"/>
    <w:rsid w:val="00E20F66"/>
    <w:rsid w:val="00E22C7E"/>
    <w:rsid w:val="00E233D3"/>
    <w:rsid w:val="00E240FE"/>
    <w:rsid w:val="00E249F5"/>
    <w:rsid w:val="00E25009"/>
    <w:rsid w:val="00E25570"/>
    <w:rsid w:val="00E264D8"/>
    <w:rsid w:val="00E26E2F"/>
    <w:rsid w:val="00E2778A"/>
    <w:rsid w:val="00E315BD"/>
    <w:rsid w:val="00E32714"/>
    <w:rsid w:val="00E32A72"/>
    <w:rsid w:val="00E32B35"/>
    <w:rsid w:val="00E32CF1"/>
    <w:rsid w:val="00E32E6D"/>
    <w:rsid w:val="00E34AD2"/>
    <w:rsid w:val="00E3670A"/>
    <w:rsid w:val="00E377A0"/>
    <w:rsid w:val="00E3797E"/>
    <w:rsid w:val="00E40A95"/>
    <w:rsid w:val="00E43CC3"/>
    <w:rsid w:val="00E452D1"/>
    <w:rsid w:val="00E46056"/>
    <w:rsid w:val="00E468AD"/>
    <w:rsid w:val="00E46922"/>
    <w:rsid w:val="00E46A1B"/>
    <w:rsid w:val="00E4721A"/>
    <w:rsid w:val="00E474E5"/>
    <w:rsid w:val="00E475FC"/>
    <w:rsid w:val="00E47A1B"/>
    <w:rsid w:val="00E47F3C"/>
    <w:rsid w:val="00E521D6"/>
    <w:rsid w:val="00E52750"/>
    <w:rsid w:val="00E5367F"/>
    <w:rsid w:val="00E5368D"/>
    <w:rsid w:val="00E54A88"/>
    <w:rsid w:val="00E56AFB"/>
    <w:rsid w:val="00E56DF4"/>
    <w:rsid w:val="00E600B4"/>
    <w:rsid w:val="00E6094D"/>
    <w:rsid w:val="00E61B83"/>
    <w:rsid w:val="00E620D6"/>
    <w:rsid w:val="00E64BF2"/>
    <w:rsid w:val="00E652C8"/>
    <w:rsid w:val="00E66804"/>
    <w:rsid w:val="00E66DAD"/>
    <w:rsid w:val="00E66F9A"/>
    <w:rsid w:val="00E7090E"/>
    <w:rsid w:val="00E71832"/>
    <w:rsid w:val="00E723C0"/>
    <w:rsid w:val="00E72B6A"/>
    <w:rsid w:val="00E73369"/>
    <w:rsid w:val="00E75C9E"/>
    <w:rsid w:val="00E768FA"/>
    <w:rsid w:val="00E77F59"/>
    <w:rsid w:val="00E77FAC"/>
    <w:rsid w:val="00E81EE9"/>
    <w:rsid w:val="00E82D02"/>
    <w:rsid w:val="00E84FD5"/>
    <w:rsid w:val="00E85978"/>
    <w:rsid w:val="00E87572"/>
    <w:rsid w:val="00E90152"/>
    <w:rsid w:val="00E92449"/>
    <w:rsid w:val="00E92CAC"/>
    <w:rsid w:val="00E93159"/>
    <w:rsid w:val="00E955D3"/>
    <w:rsid w:val="00E95A21"/>
    <w:rsid w:val="00EA122A"/>
    <w:rsid w:val="00EA14D4"/>
    <w:rsid w:val="00EA1AC7"/>
    <w:rsid w:val="00EA1C28"/>
    <w:rsid w:val="00EA2DF7"/>
    <w:rsid w:val="00EA36AB"/>
    <w:rsid w:val="00EA49E8"/>
    <w:rsid w:val="00EA4E54"/>
    <w:rsid w:val="00EA58AB"/>
    <w:rsid w:val="00EA5CDB"/>
    <w:rsid w:val="00EA6E8F"/>
    <w:rsid w:val="00EA7BE2"/>
    <w:rsid w:val="00EB0044"/>
    <w:rsid w:val="00EB09BF"/>
    <w:rsid w:val="00EB2881"/>
    <w:rsid w:val="00EB2B7F"/>
    <w:rsid w:val="00EB5520"/>
    <w:rsid w:val="00EB5A96"/>
    <w:rsid w:val="00EC0023"/>
    <w:rsid w:val="00EC03D6"/>
    <w:rsid w:val="00EC0FA8"/>
    <w:rsid w:val="00EC13CF"/>
    <w:rsid w:val="00EC16C3"/>
    <w:rsid w:val="00EC26FD"/>
    <w:rsid w:val="00EC27DD"/>
    <w:rsid w:val="00EC4FD4"/>
    <w:rsid w:val="00EC538D"/>
    <w:rsid w:val="00EC6069"/>
    <w:rsid w:val="00EC71A4"/>
    <w:rsid w:val="00EC78A0"/>
    <w:rsid w:val="00ED0BDA"/>
    <w:rsid w:val="00ED439A"/>
    <w:rsid w:val="00ED640B"/>
    <w:rsid w:val="00ED6DC4"/>
    <w:rsid w:val="00ED70FB"/>
    <w:rsid w:val="00EE0042"/>
    <w:rsid w:val="00EE094A"/>
    <w:rsid w:val="00EE1787"/>
    <w:rsid w:val="00EE6B00"/>
    <w:rsid w:val="00EE762B"/>
    <w:rsid w:val="00EE7C7D"/>
    <w:rsid w:val="00EF1E0F"/>
    <w:rsid w:val="00EF2D24"/>
    <w:rsid w:val="00EF3ED4"/>
    <w:rsid w:val="00EF49CE"/>
    <w:rsid w:val="00EF4F83"/>
    <w:rsid w:val="00EF7512"/>
    <w:rsid w:val="00F010BE"/>
    <w:rsid w:val="00F0178B"/>
    <w:rsid w:val="00F01CD7"/>
    <w:rsid w:val="00F02800"/>
    <w:rsid w:val="00F03572"/>
    <w:rsid w:val="00F04C84"/>
    <w:rsid w:val="00F06AD8"/>
    <w:rsid w:val="00F06B6F"/>
    <w:rsid w:val="00F1055B"/>
    <w:rsid w:val="00F109AE"/>
    <w:rsid w:val="00F1114A"/>
    <w:rsid w:val="00F13C64"/>
    <w:rsid w:val="00F14403"/>
    <w:rsid w:val="00F15F87"/>
    <w:rsid w:val="00F16F10"/>
    <w:rsid w:val="00F17C9F"/>
    <w:rsid w:val="00F235A3"/>
    <w:rsid w:val="00F242BE"/>
    <w:rsid w:val="00F265AE"/>
    <w:rsid w:val="00F27050"/>
    <w:rsid w:val="00F3044E"/>
    <w:rsid w:val="00F31F92"/>
    <w:rsid w:val="00F31FE2"/>
    <w:rsid w:val="00F32926"/>
    <w:rsid w:val="00F351E9"/>
    <w:rsid w:val="00F36729"/>
    <w:rsid w:val="00F40797"/>
    <w:rsid w:val="00F411A9"/>
    <w:rsid w:val="00F4126B"/>
    <w:rsid w:val="00F4191D"/>
    <w:rsid w:val="00F438C2"/>
    <w:rsid w:val="00F5012A"/>
    <w:rsid w:val="00F5024D"/>
    <w:rsid w:val="00F5170B"/>
    <w:rsid w:val="00F51ED1"/>
    <w:rsid w:val="00F52191"/>
    <w:rsid w:val="00F5264E"/>
    <w:rsid w:val="00F5269C"/>
    <w:rsid w:val="00F5275E"/>
    <w:rsid w:val="00F542A6"/>
    <w:rsid w:val="00F57488"/>
    <w:rsid w:val="00F6085D"/>
    <w:rsid w:val="00F60894"/>
    <w:rsid w:val="00F6260A"/>
    <w:rsid w:val="00F62721"/>
    <w:rsid w:val="00F6466E"/>
    <w:rsid w:val="00F647CB"/>
    <w:rsid w:val="00F64E73"/>
    <w:rsid w:val="00F6601A"/>
    <w:rsid w:val="00F66A91"/>
    <w:rsid w:val="00F67348"/>
    <w:rsid w:val="00F678FF"/>
    <w:rsid w:val="00F70BE0"/>
    <w:rsid w:val="00F71622"/>
    <w:rsid w:val="00F72AC0"/>
    <w:rsid w:val="00F72EC5"/>
    <w:rsid w:val="00F72FAC"/>
    <w:rsid w:val="00F74563"/>
    <w:rsid w:val="00F759CA"/>
    <w:rsid w:val="00F75F57"/>
    <w:rsid w:val="00F779CA"/>
    <w:rsid w:val="00F77E65"/>
    <w:rsid w:val="00F800F0"/>
    <w:rsid w:val="00F8081C"/>
    <w:rsid w:val="00F80BA9"/>
    <w:rsid w:val="00F81B9A"/>
    <w:rsid w:val="00F82634"/>
    <w:rsid w:val="00F8555D"/>
    <w:rsid w:val="00F865D3"/>
    <w:rsid w:val="00F86C43"/>
    <w:rsid w:val="00F86C6D"/>
    <w:rsid w:val="00F9310C"/>
    <w:rsid w:val="00F93842"/>
    <w:rsid w:val="00F93D37"/>
    <w:rsid w:val="00F96934"/>
    <w:rsid w:val="00F96E15"/>
    <w:rsid w:val="00F97055"/>
    <w:rsid w:val="00FA0791"/>
    <w:rsid w:val="00FA0F6F"/>
    <w:rsid w:val="00FA1BDD"/>
    <w:rsid w:val="00FA2AB3"/>
    <w:rsid w:val="00FA4E33"/>
    <w:rsid w:val="00FA5DDE"/>
    <w:rsid w:val="00FA69A4"/>
    <w:rsid w:val="00FA6BC5"/>
    <w:rsid w:val="00FA7DC2"/>
    <w:rsid w:val="00FB046D"/>
    <w:rsid w:val="00FB1979"/>
    <w:rsid w:val="00FB1CDB"/>
    <w:rsid w:val="00FB5D61"/>
    <w:rsid w:val="00FB6DA0"/>
    <w:rsid w:val="00FB778A"/>
    <w:rsid w:val="00FB7EFD"/>
    <w:rsid w:val="00FC0528"/>
    <w:rsid w:val="00FC063B"/>
    <w:rsid w:val="00FC16BC"/>
    <w:rsid w:val="00FC2E91"/>
    <w:rsid w:val="00FC30D6"/>
    <w:rsid w:val="00FC3174"/>
    <w:rsid w:val="00FC3A4A"/>
    <w:rsid w:val="00FC3FC0"/>
    <w:rsid w:val="00FC5001"/>
    <w:rsid w:val="00FC5909"/>
    <w:rsid w:val="00FD13C6"/>
    <w:rsid w:val="00FD6DC8"/>
    <w:rsid w:val="00FD7924"/>
    <w:rsid w:val="00FD7F6D"/>
    <w:rsid w:val="00FE0D1E"/>
    <w:rsid w:val="00FE1C46"/>
    <w:rsid w:val="00FE50BE"/>
    <w:rsid w:val="00FF0BFA"/>
    <w:rsid w:val="00FF0D77"/>
    <w:rsid w:val="00FF2656"/>
    <w:rsid w:val="00FF3C69"/>
    <w:rsid w:val="00FF49F7"/>
    <w:rsid w:val="00FF567A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B79E7"/>
  <w15:docId w15:val="{39BFB328-EEB1-40B8-8CA8-2D2B462E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979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297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AD2979"/>
  </w:style>
  <w:style w:type="table" w:customStyle="1" w:styleId="TabelaSimples21">
    <w:name w:val="Tabela Simples 21"/>
    <w:basedOn w:val="Tabelanormal"/>
    <w:uiPriority w:val="42"/>
    <w:rsid w:val="00AD297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acomgrade">
    <w:name w:val="Table Grid"/>
    <w:basedOn w:val="Tabelanormal"/>
    <w:uiPriority w:val="59"/>
    <w:rsid w:val="004B1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4B17F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Normal"/>
    <w:rsid w:val="00355F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55FC5"/>
  </w:style>
  <w:style w:type="character" w:customStyle="1" w:styleId="eop">
    <w:name w:val="eop"/>
    <w:basedOn w:val="Fontepargpadro"/>
    <w:rsid w:val="00355FC5"/>
  </w:style>
  <w:style w:type="paragraph" w:styleId="Cabealho">
    <w:name w:val="header"/>
    <w:basedOn w:val="Normal"/>
    <w:link w:val="CabealhoChar"/>
    <w:uiPriority w:val="99"/>
    <w:unhideWhenUsed/>
    <w:rsid w:val="00883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3EF8"/>
  </w:style>
  <w:style w:type="paragraph" w:styleId="Rodap">
    <w:name w:val="footer"/>
    <w:basedOn w:val="Normal"/>
    <w:link w:val="RodapChar"/>
    <w:uiPriority w:val="99"/>
    <w:unhideWhenUsed/>
    <w:rsid w:val="00883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3EF8"/>
  </w:style>
  <w:style w:type="paragraph" w:styleId="Textodebalo">
    <w:name w:val="Balloon Text"/>
    <w:basedOn w:val="Normal"/>
    <w:link w:val="TextodebaloChar"/>
    <w:uiPriority w:val="99"/>
    <w:semiHidden/>
    <w:unhideWhenUsed/>
    <w:rsid w:val="003E1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E1555"/>
    <w:rPr>
      <w:rFonts w:ascii="Segoe UI" w:hAnsi="Segoe UI" w:cs="Segoe UI"/>
      <w:sz w:val="18"/>
      <w:szCs w:val="18"/>
    </w:rPr>
  </w:style>
  <w:style w:type="character" w:styleId="Refdecomentrio">
    <w:name w:val="annotation reference"/>
    <w:uiPriority w:val="99"/>
    <w:semiHidden/>
    <w:unhideWhenUsed/>
    <w:rsid w:val="007F29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29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F296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296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F2961"/>
    <w:rPr>
      <w:b/>
      <w:bCs/>
      <w:sz w:val="20"/>
      <w:szCs w:val="20"/>
    </w:rPr>
  </w:style>
  <w:style w:type="character" w:styleId="TextodoEspaoReservado">
    <w:name w:val="Placeholder Text"/>
    <w:uiPriority w:val="99"/>
    <w:semiHidden/>
    <w:rsid w:val="004253A3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6BF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8E6BFA"/>
    <w:rPr>
      <w:lang w:eastAsia="en-US"/>
    </w:rPr>
  </w:style>
  <w:style w:type="character" w:styleId="Refdenotadefim">
    <w:name w:val="endnote reference"/>
    <w:uiPriority w:val="99"/>
    <w:semiHidden/>
    <w:unhideWhenUsed/>
    <w:rsid w:val="008E6BF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379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8A3797"/>
    <w:rPr>
      <w:lang w:eastAsia="en-US"/>
    </w:rPr>
  </w:style>
  <w:style w:type="character" w:styleId="Refdenotaderodap">
    <w:name w:val="footnote reference"/>
    <w:uiPriority w:val="99"/>
    <w:semiHidden/>
    <w:unhideWhenUsed/>
    <w:rsid w:val="008A3797"/>
    <w:rPr>
      <w:vertAlign w:val="superscript"/>
    </w:rPr>
  </w:style>
  <w:style w:type="paragraph" w:customStyle="1" w:styleId="AutoCorreo">
    <w:name w:val="AutoCorreção"/>
    <w:rsid w:val="00C22EED"/>
    <w:pPr>
      <w:spacing w:after="160" w:line="259" w:lineRule="auto"/>
    </w:pPr>
    <w:rPr>
      <w:rFonts w:eastAsia="Times New Roman"/>
      <w:sz w:val="22"/>
      <w:szCs w:val="22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766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7669E"/>
    <w:rPr>
      <w:rFonts w:ascii="Courier New" w:eastAsia="Times New Roman" w:hAnsi="Courier New" w:cs="Courier New"/>
    </w:rPr>
  </w:style>
  <w:style w:type="paragraph" w:styleId="Legenda">
    <w:name w:val="caption"/>
    <w:basedOn w:val="Normal"/>
    <w:next w:val="Normal"/>
    <w:uiPriority w:val="35"/>
    <w:unhideWhenUsed/>
    <w:qFormat/>
    <w:rsid w:val="00F367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o">
    <w:name w:val="Revision"/>
    <w:hidden/>
    <w:uiPriority w:val="99"/>
    <w:semiHidden/>
    <w:rsid w:val="008E7A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6FAE7-DE0C-49B5-83CB-CD2203C4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8096</Words>
  <Characters>43724</Characters>
  <Application>Microsoft Office Word</Application>
  <DocSecurity>0</DocSecurity>
  <Lines>364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Brito</dc:creator>
  <cp:keywords/>
  <dc:description/>
  <cp:lastModifiedBy>EduGon</cp:lastModifiedBy>
  <cp:revision>4</cp:revision>
  <cp:lastPrinted>2017-07-21T19:00:00Z</cp:lastPrinted>
  <dcterms:created xsi:type="dcterms:W3CDTF">2018-04-17T18:21:00Z</dcterms:created>
  <dcterms:modified xsi:type="dcterms:W3CDTF">2018-04-18T03:08:00Z</dcterms:modified>
</cp:coreProperties>
</file>